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0F" w:rsidRDefault="0004270F" w:rsidP="0004270F">
      <w:pPr>
        <w:pStyle w:val="ConsPlusNormal"/>
        <w:spacing w:line="360" w:lineRule="auto"/>
        <w:ind w:firstLine="54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8DB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04270F" w:rsidRDefault="0004270F" w:rsidP="0004270F">
      <w:pPr>
        <w:pStyle w:val="ConsPlusNormal"/>
        <w:ind w:firstLine="5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</w:p>
    <w:p w:rsidR="0004270F" w:rsidRDefault="0004270F" w:rsidP="0004270F">
      <w:pPr>
        <w:pStyle w:val="ConsPlusNormal"/>
        <w:ind w:firstLine="5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 Приморского края</w:t>
      </w:r>
    </w:p>
    <w:p w:rsidR="0004270F" w:rsidRDefault="0004270F" w:rsidP="0004270F">
      <w:pPr>
        <w:pStyle w:val="ConsPlusNormal"/>
        <w:ind w:firstLine="5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 декабря 2013 года № 510-па</w:t>
      </w:r>
    </w:p>
    <w:p w:rsidR="0004270F" w:rsidRDefault="0004270F" w:rsidP="0004270F">
      <w:pPr>
        <w:pStyle w:val="ConsPlusNormal"/>
        <w:ind w:firstLine="5400"/>
        <w:rPr>
          <w:rFonts w:ascii="Times New Roman" w:hAnsi="Times New Roman" w:cs="Times New Roman"/>
          <w:bCs/>
          <w:sz w:val="28"/>
          <w:szCs w:val="28"/>
        </w:rPr>
      </w:pPr>
    </w:p>
    <w:p w:rsidR="0004270F" w:rsidRPr="009518DB" w:rsidRDefault="0004270F" w:rsidP="0004270F">
      <w:pPr>
        <w:pStyle w:val="ConsPlusNormal"/>
        <w:ind w:firstLine="5400"/>
        <w:rPr>
          <w:rFonts w:ascii="Times New Roman" w:hAnsi="Times New Roman" w:cs="Times New Roman"/>
          <w:bCs/>
          <w:sz w:val="28"/>
          <w:szCs w:val="28"/>
        </w:rPr>
      </w:pPr>
    </w:p>
    <w:p w:rsidR="006A566C" w:rsidRPr="00DC7237" w:rsidRDefault="006A566C" w:rsidP="0004270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3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A566C" w:rsidRPr="00DC7237" w:rsidRDefault="006A566C" w:rsidP="00B327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37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</w:t>
      </w:r>
    </w:p>
    <w:p w:rsidR="006A566C" w:rsidRPr="00DC7237" w:rsidRDefault="006A566C" w:rsidP="00B327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37">
        <w:rPr>
          <w:rFonts w:ascii="Times New Roman" w:hAnsi="Times New Roman" w:cs="Times New Roman"/>
          <w:b/>
          <w:bCs/>
          <w:sz w:val="28"/>
          <w:szCs w:val="28"/>
        </w:rPr>
        <w:t>ГРАЖДАНАМ МЕДИЦИНСКОЙ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ПРИМОРСКОМ КРАЕ</w:t>
      </w:r>
    </w:p>
    <w:p w:rsidR="006A566C" w:rsidRPr="00DC7237" w:rsidRDefault="006A566C" w:rsidP="003D29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37">
        <w:rPr>
          <w:rFonts w:ascii="Times New Roman" w:hAnsi="Times New Roman" w:cs="Times New Roman"/>
          <w:b/>
          <w:bCs/>
          <w:sz w:val="28"/>
          <w:szCs w:val="28"/>
        </w:rPr>
        <w:t>НА 2014 ГОД И НА ПЛАНОВЫЙ ПЕРИОД 2015 И 2016 ГОДОВ</w:t>
      </w:r>
    </w:p>
    <w:p w:rsidR="006A566C" w:rsidRPr="00DC7237" w:rsidRDefault="006A566C" w:rsidP="00B3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Pr="00DC7237" w:rsidRDefault="006A566C" w:rsidP="00B327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566C" w:rsidRPr="00DC7237" w:rsidRDefault="006A566C" w:rsidP="00B3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 xml:space="preserve">1.1. Программа государственных гарантий бесплатного оказания медицинской помощи на 2014 год и на плановый период 2015 и 2016 годов 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</w:t>
      </w:r>
      <w:r>
        <w:rPr>
          <w:rFonts w:ascii="Times New Roman" w:hAnsi="Times New Roman" w:cs="Times New Roman"/>
          <w:sz w:val="28"/>
          <w:szCs w:val="28"/>
        </w:rPr>
        <w:t xml:space="preserve">объем медицинской помощи в расчете на одного жителя, нормативы объемов предоставления </w:t>
      </w:r>
      <w:r w:rsidRPr="00DC7237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одно застрахованное лицо</w:t>
      </w:r>
      <w:r w:rsidRPr="00DC7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стоимость объема медицинской помощи, </w:t>
      </w:r>
      <w:r w:rsidRPr="00DC7237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C7237">
        <w:rPr>
          <w:rFonts w:ascii="Times New Roman" w:hAnsi="Times New Roman" w:cs="Times New Roman"/>
          <w:sz w:val="28"/>
          <w:szCs w:val="28"/>
        </w:rPr>
        <w:t xml:space="preserve">медицинской помощи, подушевые нормативы финансирования, порядок и структуру формирования тарифов на медицинскую помощь и способы ее оплаты, определяет порядок и условия предоставления медицинской помощи, а также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целевые значения </w:t>
      </w:r>
      <w:r w:rsidRPr="00DC7237">
        <w:rPr>
          <w:rFonts w:ascii="Times New Roman" w:hAnsi="Times New Roman" w:cs="Times New Roman"/>
          <w:sz w:val="28"/>
          <w:szCs w:val="28"/>
        </w:rPr>
        <w:t xml:space="preserve">критерии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Pr="00DC7237">
        <w:rPr>
          <w:rFonts w:ascii="Times New Roman" w:hAnsi="Times New Roman" w:cs="Times New Roman"/>
          <w:sz w:val="28"/>
          <w:szCs w:val="28"/>
        </w:rPr>
        <w:t xml:space="preserve"> медицинской помощи, предоставляемой гражданам бесплатно.</w:t>
      </w:r>
    </w:p>
    <w:p w:rsidR="006A566C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 xml:space="preserve">1.2. Программа разработана департаментом здравоохранения Приморского края (далее - Департамент) в соответствии с федеральными законами от </w:t>
      </w:r>
      <w:r w:rsidRPr="004049BA">
        <w:rPr>
          <w:rFonts w:ascii="Times New Roman" w:hAnsi="Times New Roman" w:cs="Times New Roman"/>
          <w:sz w:val="28"/>
          <w:szCs w:val="28"/>
        </w:rPr>
        <w:t xml:space="preserve">21 ноября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9B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B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4049BA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в Российской Федерации», от 29 ноября 2010 года  № </w:t>
      </w:r>
      <w:hyperlink r:id="rId8" w:history="1">
        <w:r w:rsidRPr="004049BA">
          <w:rPr>
            <w:rFonts w:ascii="Times New Roman" w:hAnsi="Times New Roman" w:cs="Times New Roman"/>
            <w:sz w:val="28"/>
            <w:szCs w:val="28"/>
          </w:rPr>
          <w:t>326-ФЗ</w:t>
        </w:r>
      </w:hyperlink>
      <w:r w:rsidRPr="004049BA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 в Российской Федерации» и на основании постановления Правительства Российской Федерации от 18 октября 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 w:rsidRPr="004049B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049BA">
        <w:rPr>
          <w:rFonts w:ascii="Times New Roman" w:hAnsi="Times New Roman" w:cs="Times New Roman"/>
          <w:sz w:val="28"/>
          <w:szCs w:val="28"/>
        </w:rPr>
        <w:t xml:space="preserve"> 932 «О программе государственных гарантий бесплатного оказания гражданам медицинской помощи на 2014 год  и на плановый период 2015 и 2016 годов», методических рекомендаций </w:t>
      </w:r>
      <w:r w:rsidRPr="004049BA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 Российской Федерации от 8 ноября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B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4049BA">
        <w:rPr>
          <w:rFonts w:ascii="Times New Roman" w:hAnsi="Times New Roman" w:cs="Times New Roman"/>
          <w:sz w:val="28"/>
          <w:szCs w:val="28"/>
        </w:rPr>
        <w:t>11-9/10/2-8309 «О формировании и экономическом обосновании территориальной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2014 год и на плановый период 2015 и 2016 годов»</w:t>
      </w:r>
      <w:r w:rsidRPr="00DC7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Pr="00DC7237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Приморского края, основанных на данных</w:t>
      </w:r>
      <w:r w:rsidRPr="00E62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статистики</w:t>
      </w:r>
      <w:r w:rsidRPr="00DC7237">
        <w:rPr>
          <w:rFonts w:ascii="Times New Roman" w:hAnsi="Times New Roman" w:cs="Times New Roman"/>
          <w:sz w:val="28"/>
          <w:szCs w:val="28"/>
        </w:rPr>
        <w:t>.</w:t>
      </w:r>
    </w:p>
    <w:p w:rsidR="006A566C" w:rsidRPr="00B565F6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5F6">
        <w:rPr>
          <w:rFonts w:ascii="Times New Roman" w:hAnsi="Times New Roman" w:cs="Times New Roman"/>
          <w:sz w:val="28"/>
          <w:szCs w:val="28"/>
        </w:rPr>
        <w:t>При формировании Программы учтена сбалансированность объема медицинской помощи и финансового обеспечения Программы в р</w:t>
      </w:r>
      <w:r>
        <w:rPr>
          <w:rFonts w:ascii="Times New Roman" w:hAnsi="Times New Roman" w:cs="Times New Roman"/>
          <w:sz w:val="28"/>
          <w:szCs w:val="28"/>
        </w:rPr>
        <w:t>азмере                  23592,952</w:t>
      </w:r>
      <w:r w:rsidRPr="00B565F6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5F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A566C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C7237">
        <w:rPr>
          <w:rFonts w:ascii="Times New Roman" w:hAnsi="Times New Roman" w:cs="Times New Roman"/>
          <w:sz w:val="28"/>
          <w:szCs w:val="28"/>
        </w:rPr>
        <w:t>. К Программе прилагаются: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566C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тоимость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П</w:t>
      </w:r>
      <w:r w:rsidR="006A566C" w:rsidRPr="00DC7237">
        <w:rPr>
          <w:rFonts w:ascii="Times New Roman" w:hAnsi="Times New Roman" w:cs="Times New Roman"/>
          <w:sz w:val="28"/>
          <w:szCs w:val="28"/>
        </w:rPr>
        <w:t>рограммы по источникам финансового обеспечения на 201</w:t>
      </w:r>
      <w:r w:rsidR="006A566C">
        <w:rPr>
          <w:rFonts w:ascii="Times New Roman" w:hAnsi="Times New Roman" w:cs="Times New Roman"/>
          <w:sz w:val="28"/>
          <w:szCs w:val="28"/>
        </w:rPr>
        <w:t>4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A566C">
        <w:rPr>
          <w:rFonts w:ascii="Times New Roman" w:hAnsi="Times New Roman" w:cs="Times New Roman"/>
          <w:sz w:val="28"/>
          <w:szCs w:val="28"/>
        </w:rPr>
        <w:t>5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и 201</w:t>
      </w:r>
      <w:r w:rsidR="006A566C">
        <w:rPr>
          <w:rFonts w:ascii="Times New Roman" w:hAnsi="Times New Roman" w:cs="Times New Roman"/>
          <w:sz w:val="28"/>
          <w:szCs w:val="28"/>
        </w:rPr>
        <w:t>6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1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DC7237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7237">
        <w:rPr>
          <w:rFonts w:ascii="Times New Roman" w:hAnsi="Times New Roman" w:cs="Times New Roman"/>
          <w:sz w:val="28"/>
          <w:szCs w:val="28"/>
        </w:rPr>
        <w:t xml:space="preserve">твержденная </w:t>
      </w:r>
      <w:hyperlink r:id="rId11" w:history="1">
        <w:r w:rsidRPr="00DC7237">
          <w:rPr>
            <w:rFonts w:ascii="Times New Roman" w:hAnsi="Times New Roman" w:cs="Times New Roman"/>
            <w:color w:val="0000FF"/>
            <w:sz w:val="28"/>
            <w:szCs w:val="28"/>
          </w:rPr>
          <w:t>стоимость</w:t>
        </w:r>
      </w:hyperlink>
      <w:r w:rsidRPr="00DC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237">
        <w:rPr>
          <w:rFonts w:ascii="Times New Roman" w:hAnsi="Times New Roman" w:cs="Times New Roman"/>
          <w:sz w:val="28"/>
          <w:szCs w:val="28"/>
        </w:rPr>
        <w:t>рограммы по условиям ее оказания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23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CA27C9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566C" w:rsidRPr="00CA27C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A566C" w:rsidRPr="00CA27C9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</w:t>
      </w:r>
      <w:r w:rsidR="006A566C">
        <w:rPr>
          <w:rFonts w:ascii="Times New Roman" w:hAnsi="Times New Roman" w:cs="Times New Roman"/>
          <w:sz w:val="28"/>
          <w:szCs w:val="28"/>
        </w:rPr>
        <w:t>П</w:t>
      </w:r>
      <w:r w:rsidR="006A566C" w:rsidRPr="00CA27C9">
        <w:rPr>
          <w:rFonts w:ascii="Times New Roman" w:hAnsi="Times New Roman" w:cs="Times New Roman"/>
          <w:sz w:val="28"/>
          <w:szCs w:val="28"/>
        </w:rPr>
        <w:t>рограммы, в том числе территориальной программы обязательного медицинского страхования</w:t>
      </w:r>
      <w:r w:rsidR="006A566C">
        <w:rPr>
          <w:rFonts w:ascii="Times New Roman" w:hAnsi="Times New Roman" w:cs="Times New Roman"/>
          <w:sz w:val="28"/>
          <w:szCs w:val="28"/>
        </w:rPr>
        <w:t xml:space="preserve"> (далее – территориальная программа ОМС)</w:t>
      </w:r>
      <w:r w:rsidR="006A566C" w:rsidRPr="00CA27C9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CA27C9">
        <w:rPr>
          <w:rFonts w:ascii="Times New Roman" w:hAnsi="Times New Roman" w:cs="Times New Roman"/>
          <w:sz w:val="28"/>
          <w:szCs w:val="28"/>
        </w:rPr>
        <w:t xml:space="preserve"> 3);</w:t>
      </w:r>
      <w:r w:rsidR="006A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и условия оказания бесплатной медицинской и лекарственной помощи </w:t>
      </w:r>
      <w:r w:rsidR="006A566C">
        <w:rPr>
          <w:rFonts w:ascii="Times New Roman" w:hAnsi="Times New Roman" w:cs="Times New Roman"/>
          <w:sz w:val="28"/>
          <w:szCs w:val="28"/>
        </w:rPr>
        <w:t xml:space="preserve"> в Приморском крае 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4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6A566C">
        <w:rPr>
          <w:rFonts w:ascii="Times New Roman" w:hAnsi="Times New Roman" w:cs="Times New Roman"/>
          <w:sz w:val="28"/>
          <w:szCs w:val="28"/>
        </w:rPr>
        <w:t>, находящихся на территории Приморского края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5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6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09777A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566C" w:rsidRPr="008B12D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A566C" w:rsidRPr="008B12D7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заболеваний и формированию здорового образа жизни, ос</w:t>
      </w:r>
      <w:r w:rsidR="006A566C">
        <w:rPr>
          <w:rFonts w:ascii="Times New Roman" w:hAnsi="Times New Roman" w:cs="Times New Roman"/>
          <w:sz w:val="28"/>
          <w:szCs w:val="28"/>
        </w:rPr>
        <w:t xml:space="preserve">уществляемых в рамках Программы, </w:t>
      </w:r>
      <w:r w:rsidR="006A566C" w:rsidRPr="008B12D7">
        <w:rPr>
          <w:rFonts w:ascii="Times New Roman" w:hAnsi="Times New Roman" w:cs="Times New Roman"/>
          <w:sz w:val="28"/>
          <w:szCs w:val="28"/>
        </w:rPr>
        <w:t xml:space="preserve">на 2014 год и на плановый период 2015 и 2016 годов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8B12D7">
        <w:rPr>
          <w:rFonts w:ascii="Times New Roman" w:hAnsi="Times New Roman" w:cs="Times New Roman"/>
          <w:sz w:val="28"/>
          <w:szCs w:val="28"/>
        </w:rPr>
        <w:t xml:space="preserve"> 7);</w:t>
      </w:r>
      <w:r w:rsidR="006A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566C">
          <w:rPr>
            <w:rFonts w:ascii="Times New Roman" w:hAnsi="Times New Roman" w:cs="Times New Roman"/>
            <w:color w:val="0000FF"/>
            <w:sz w:val="28"/>
            <w:szCs w:val="28"/>
          </w:rPr>
          <w:t>У</w:t>
        </w:r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словия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8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A566C">
          <w:rPr>
            <w:rFonts w:ascii="Times New Roman" w:hAnsi="Times New Roman" w:cs="Times New Roman"/>
            <w:color w:val="0000FF"/>
            <w:sz w:val="28"/>
            <w:szCs w:val="28"/>
          </w:rPr>
          <w:t>У</w:t>
        </w:r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словия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и сроки диспансеризации населения для отдельных категорий населения, включая подростков и студентов, обучающихся по очной форме на бюджетной основе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hAnsi="Times New Roman" w:cs="Times New Roman"/>
          <w:sz w:val="28"/>
          <w:szCs w:val="28"/>
        </w:rPr>
        <w:t>9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DC7237" w:rsidRDefault="006A566C" w:rsidP="000977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9777A">
        <w:rPr>
          <w:bCs/>
          <w:sz w:val="28"/>
          <w:szCs w:val="28"/>
        </w:rPr>
        <w:t xml:space="preserve">Порядок предоставления транспортных услуг </w:t>
      </w:r>
      <w:r w:rsidRPr="0009777A">
        <w:rPr>
          <w:sz w:val="28"/>
          <w:szCs w:val="28"/>
        </w:rPr>
        <w:t xml:space="preserve">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</w:t>
      </w:r>
      <w:r>
        <w:rPr>
          <w:sz w:val="28"/>
          <w:szCs w:val="28"/>
        </w:rPr>
        <w:t>№</w:t>
      </w:r>
      <w:r w:rsidRPr="0009777A">
        <w:rPr>
          <w:sz w:val="28"/>
          <w:szCs w:val="28"/>
        </w:rPr>
        <w:t xml:space="preserve"> 10);</w:t>
      </w:r>
      <w:r>
        <w:rPr>
          <w:sz w:val="28"/>
          <w:szCs w:val="28"/>
        </w:rPr>
        <w:t xml:space="preserve"> 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препаратов, необходимых для оказания стационарной медицинской помощи, а также скорой и неотложной медицинской помощи, в случае создания службы неотложной медицинской помощи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1</w:t>
      </w:r>
      <w:r w:rsidR="006A566C">
        <w:rPr>
          <w:rFonts w:ascii="Times New Roman" w:hAnsi="Times New Roman" w:cs="Times New Roman"/>
          <w:sz w:val="28"/>
          <w:szCs w:val="28"/>
        </w:rPr>
        <w:t>1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Pr="00DC7237" w:rsidRDefault="0004270F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A566C" w:rsidRPr="00DC723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лекарственных препаратов, отпускае</w:t>
      </w:r>
      <w:r w:rsidR="006A566C">
        <w:rPr>
          <w:rFonts w:ascii="Times New Roman" w:hAnsi="Times New Roman" w:cs="Times New Roman"/>
          <w:sz w:val="28"/>
          <w:szCs w:val="28"/>
        </w:rPr>
        <w:t>мых населению в соответствии с П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еречнем групп населения и категорий заболеваний, при амбулаторном лечении которых лекарственные </w:t>
      </w:r>
      <w:r w:rsidR="006A566C">
        <w:rPr>
          <w:rFonts w:ascii="Times New Roman" w:hAnsi="Times New Roman" w:cs="Times New Roman"/>
          <w:sz w:val="28"/>
          <w:szCs w:val="28"/>
        </w:rPr>
        <w:t>средства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и изделия медицинского назначения отпускаются по рецептам врачей беспл</w:t>
      </w:r>
      <w:r w:rsidR="006A566C">
        <w:rPr>
          <w:rFonts w:ascii="Times New Roman" w:hAnsi="Times New Roman" w:cs="Times New Roman"/>
          <w:sz w:val="28"/>
          <w:szCs w:val="28"/>
        </w:rPr>
        <w:t>атно, а также в соответствии с П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(приложение </w:t>
      </w:r>
      <w:r w:rsidR="006A566C">
        <w:rPr>
          <w:rFonts w:ascii="Times New Roman" w:hAnsi="Times New Roman" w:cs="Times New Roman"/>
          <w:sz w:val="28"/>
          <w:szCs w:val="28"/>
        </w:rPr>
        <w:t>№</w:t>
      </w:r>
      <w:r w:rsidR="006A566C" w:rsidRPr="00DC7237">
        <w:rPr>
          <w:rFonts w:ascii="Times New Roman" w:hAnsi="Times New Roman" w:cs="Times New Roman"/>
          <w:sz w:val="28"/>
          <w:szCs w:val="28"/>
        </w:rPr>
        <w:t xml:space="preserve"> 1</w:t>
      </w:r>
      <w:r w:rsidR="006A566C">
        <w:rPr>
          <w:rFonts w:ascii="Times New Roman" w:hAnsi="Times New Roman" w:cs="Times New Roman"/>
          <w:sz w:val="28"/>
          <w:szCs w:val="28"/>
        </w:rPr>
        <w:t>2</w:t>
      </w:r>
      <w:r w:rsidR="006A566C" w:rsidRPr="00DC7237">
        <w:rPr>
          <w:rFonts w:ascii="Times New Roman" w:hAnsi="Times New Roman" w:cs="Times New Roman"/>
          <w:sz w:val="28"/>
          <w:szCs w:val="28"/>
        </w:rPr>
        <w:t>);</w:t>
      </w:r>
    </w:p>
    <w:p w:rsidR="006A566C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hyperlink r:id="rId21" w:history="1">
        <w:r w:rsidRPr="00DC7237">
          <w:rPr>
            <w:rFonts w:ascii="Times New Roman" w:hAnsi="Times New Roman" w:cs="Times New Roman"/>
            <w:color w:val="0000FF"/>
            <w:sz w:val="28"/>
            <w:szCs w:val="28"/>
          </w:rPr>
          <w:t>задание</w:t>
        </w:r>
      </w:hyperlink>
      <w:r w:rsidRPr="00DC7237">
        <w:rPr>
          <w:rFonts w:ascii="Times New Roman" w:hAnsi="Times New Roman" w:cs="Times New Roman"/>
          <w:sz w:val="28"/>
          <w:szCs w:val="28"/>
        </w:rPr>
        <w:t xml:space="preserve"> на бесплатное оказание медицинской помощи в рамках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23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23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23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Pr="00CA27C9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 xml:space="preserve">1.6. Контроль качества, объемов и условий оказания медицинской помощи и лекарственного обеспечения в рамках утвержденной Программы осуществляется Департаментом, </w:t>
      </w:r>
      <w:r>
        <w:rPr>
          <w:rFonts w:ascii="Times New Roman" w:hAnsi="Times New Roman" w:cs="Times New Roman"/>
          <w:sz w:val="28"/>
          <w:szCs w:val="28"/>
        </w:rPr>
        <w:t>Государственным учреждением</w:t>
      </w:r>
      <w:r w:rsidRPr="00C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«Территориальный фонд обязательного медицинского страхования Приморского края» (далее –                           ГУ «ТФОМС ПК») </w:t>
      </w:r>
      <w:r w:rsidRPr="00DC7237">
        <w:rPr>
          <w:rFonts w:ascii="Times New Roman" w:hAnsi="Times New Roman" w:cs="Times New Roman"/>
          <w:sz w:val="28"/>
          <w:szCs w:val="28"/>
        </w:rPr>
        <w:t>и страховыми медицинскими организациями, осуществляющими обязательное медицинское страхование.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A1">
        <w:rPr>
          <w:rFonts w:ascii="Times New Roman" w:hAnsi="Times New Roman" w:cs="Times New Roman"/>
          <w:sz w:val="28"/>
          <w:szCs w:val="28"/>
        </w:rPr>
        <w:t xml:space="preserve">Мониторинг целевых значений критериев доступности и качества медицинской помощи, оказываемой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3BA1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CA27C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27C9">
        <w:rPr>
          <w:rFonts w:ascii="Times New Roman" w:hAnsi="Times New Roman" w:cs="Times New Roman"/>
          <w:sz w:val="28"/>
          <w:szCs w:val="28"/>
        </w:rPr>
        <w:t>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66C" w:rsidRPr="00DC7237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237">
        <w:rPr>
          <w:rFonts w:ascii="Times New Roman" w:hAnsi="Times New Roman" w:cs="Times New Roman"/>
          <w:sz w:val="28"/>
          <w:szCs w:val="28"/>
        </w:rPr>
        <w:t xml:space="preserve">1.7. Гражданам, застрахованным в других субъектах Российской Федерации, временно оказавшимся на территории Приморского края, медицинская помощь предоставляется по видам, включенным в </w:t>
      </w:r>
      <w:r>
        <w:rPr>
          <w:rFonts w:ascii="Times New Roman" w:hAnsi="Times New Roman" w:cs="Times New Roman"/>
          <w:sz w:val="28"/>
          <w:szCs w:val="28"/>
        </w:rPr>
        <w:t>территориальную программу ОМС</w:t>
      </w:r>
      <w:r w:rsidRPr="00DC7237">
        <w:rPr>
          <w:rFonts w:ascii="Times New Roman" w:hAnsi="Times New Roman" w:cs="Times New Roman"/>
          <w:sz w:val="28"/>
          <w:szCs w:val="28"/>
        </w:rPr>
        <w:t>, при наличии полиса обязательного медицинского страхования, действующего на территории Российской Федерации, и гражданского паспорта.</w:t>
      </w:r>
    </w:p>
    <w:p w:rsidR="006A566C" w:rsidRDefault="006A566C" w:rsidP="003C4B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Оказание медицинской помощи иностранным гражданам осуществляется в соответствии с 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года № 186 «Об утверждении Правил оказания медицинской помощи иностранным гражданам на территории Российской Федерации».</w:t>
      </w:r>
    </w:p>
    <w:p w:rsidR="006A566C" w:rsidRPr="00193450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0">
        <w:rPr>
          <w:rFonts w:ascii="Times New Roman" w:hAnsi="Times New Roman" w:cs="Times New Roman"/>
          <w:sz w:val="28"/>
          <w:szCs w:val="28"/>
        </w:rPr>
        <w:t>1.9. Увеличение объемов медицинской и лекарственной помощи, включаемых в Программу, возможно только при наличии дополнительных источников финансовых ресурсов в соответствующих бюджетах.</w:t>
      </w:r>
    </w:p>
    <w:p w:rsidR="006A566C" w:rsidRDefault="006A566C" w:rsidP="00CA27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Разграничение оказания бесплатной медицинской помощи гражданам и платных медицинских услуг (работ) осуществляется в соответствии с Федеральным законом </w:t>
      </w:r>
      <w:r w:rsidRPr="00CA27C9">
        <w:rPr>
          <w:rFonts w:ascii="Times New Roman" w:hAnsi="Times New Roman" w:cs="Times New Roman"/>
          <w:sz w:val="28"/>
          <w:szCs w:val="28"/>
        </w:rPr>
        <w:t xml:space="preserve">от 21 ноября 2011 года № 323-ФЗ «Об основах охраны здоровья граждан в Российской Федерации» и постановлением Правительства Российской Федерации от 4 октября 2012 года № 1006 «Об утверждении Правил предоставления медицинскими организациями платных медицинских услуг» и обеспечивается, в  том числе, соблюдением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7C9">
        <w:rPr>
          <w:rFonts w:ascii="Times New Roman" w:hAnsi="Times New Roman" w:cs="Times New Roman"/>
          <w:sz w:val="28"/>
          <w:szCs w:val="28"/>
        </w:rPr>
        <w:t>рограммой сроков ожидания медицинской по</w:t>
      </w:r>
      <w:r>
        <w:rPr>
          <w:rFonts w:ascii="Times New Roman" w:hAnsi="Times New Roman" w:cs="Times New Roman"/>
          <w:sz w:val="28"/>
          <w:szCs w:val="28"/>
        </w:rPr>
        <w:t>мощи, оказываемой в плановом</w:t>
      </w:r>
      <w:r w:rsidRPr="00CA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CA27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Default="006A566C" w:rsidP="00CA27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Default="006A566C" w:rsidP="00CA27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0">
        <w:rPr>
          <w:rFonts w:ascii="Times New Roman" w:hAnsi="Times New Roman" w:cs="Times New Roman"/>
          <w:sz w:val="28"/>
          <w:szCs w:val="28"/>
        </w:rPr>
        <w:t>II. ВИДЫ, УСЛОВИЯ И ФОРМЫ ОКАЗАНИЯ МЕДИЦИНСКОЙ ПОМОЩИ</w:t>
      </w:r>
    </w:p>
    <w:p w:rsidR="006A566C" w:rsidRPr="00193450" w:rsidRDefault="006A566C" w:rsidP="00B327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паллиативная медицинская помощь в медицинских организациях.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22" w:history="1">
        <w:r w:rsidRPr="00FA081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 w:rsidRPr="00FA081F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A566C" w:rsidRPr="00FA081F" w:rsidRDefault="006A566C" w:rsidP="003C4B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1F">
        <w:rPr>
          <w:rFonts w:ascii="Times New Roman" w:hAnsi="Times New Roman" w:cs="Times New Roman"/>
          <w:sz w:val="28"/>
          <w:szCs w:val="28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A566C" w:rsidRDefault="006A566C" w:rsidP="003C4B6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566C" w:rsidRPr="0074765E" w:rsidRDefault="006A566C" w:rsidP="007476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6A566C" w:rsidRPr="0074765E" w:rsidRDefault="006A566C" w:rsidP="007476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Гражданам медицинская помощь оказывается бесплатно при следующих заболеваниях и состояниях: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органов пищеварения;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Отдельным категориям граждан:</w:t>
      </w:r>
    </w:p>
    <w:p w:rsidR="006A566C" w:rsidRPr="0074765E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предоставляется обеспечение лекарственными препаратами в соответствии с законодательством Российской Федерации;</w:t>
      </w:r>
    </w:p>
    <w:p w:rsidR="006A566C" w:rsidRPr="00C47B3C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74765E">
        <w:rPr>
          <w:rFonts w:ascii="Times New Roman" w:hAnsi="Times New Roman" w:cs="Times New Roman"/>
          <w:sz w:val="28"/>
          <w:szCs w:val="28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</w:t>
      </w:r>
      <w:r>
        <w:rPr>
          <w:rFonts w:ascii="Times New Roman" w:hAnsi="Times New Roman" w:cs="Times New Roman"/>
          <w:sz w:val="28"/>
          <w:szCs w:val="28"/>
        </w:rPr>
        <w:t xml:space="preserve">атную семью, </w:t>
      </w:r>
      <w:r w:rsidRPr="00CA27C9">
        <w:rPr>
          <w:rFonts w:ascii="Times New Roman" w:hAnsi="Times New Roman" w:cs="Times New Roman"/>
          <w:sz w:val="28"/>
          <w:szCs w:val="28"/>
        </w:rPr>
        <w:t>проведение предварительных медицинских осмотров несовершеннолетних при поступлении в образовательные учреждения, диспансеризация лиц, нуждающихся в государственной социальной помощи и другие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Default="006A566C" w:rsidP="00747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Pr="00B13BA5" w:rsidRDefault="006A566C" w:rsidP="000427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ФИНАНСОВОЕ ОБЕСПЕЧЕНИЕ</w:t>
      </w:r>
      <w:r w:rsidR="0004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A566C" w:rsidRPr="00B13BA5" w:rsidRDefault="006A566C" w:rsidP="003D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13BA5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Программы являются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краевого </w:t>
      </w:r>
      <w:r w:rsidRPr="00B13BA5">
        <w:rPr>
          <w:rFonts w:ascii="Times New Roman" w:hAnsi="Times New Roman" w:cs="Times New Roman"/>
          <w:sz w:val="28"/>
          <w:szCs w:val="28"/>
        </w:rPr>
        <w:t>бюджета, средства обязательного медицинск</w:t>
      </w:r>
      <w:r>
        <w:rPr>
          <w:rFonts w:ascii="Times New Roman" w:hAnsi="Times New Roman" w:cs="Times New Roman"/>
          <w:sz w:val="28"/>
          <w:szCs w:val="28"/>
        </w:rPr>
        <w:t>ого страхования</w:t>
      </w:r>
      <w:r w:rsidRPr="00B13BA5">
        <w:rPr>
          <w:rFonts w:ascii="Times New Roman" w:hAnsi="Times New Roman" w:cs="Times New Roman"/>
          <w:sz w:val="28"/>
          <w:szCs w:val="28"/>
        </w:rPr>
        <w:t>.</w:t>
      </w:r>
    </w:p>
    <w:p w:rsidR="006A566C" w:rsidRPr="0090762E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A6D">
        <w:rPr>
          <w:rFonts w:ascii="Times New Roman" w:hAnsi="Times New Roman" w:cs="Times New Roman"/>
          <w:sz w:val="28"/>
          <w:szCs w:val="28"/>
        </w:rPr>
        <w:t xml:space="preserve">4.2. За счет средств обязательного медицинского страхования в рамках </w:t>
      </w:r>
      <w:r>
        <w:rPr>
          <w:sz w:val="28"/>
          <w:szCs w:val="28"/>
        </w:rPr>
        <w:t xml:space="preserve">  </w:t>
      </w:r>
      <w:r w:rsidRPr="0090762E">
        <w:rPr>
          <w:rFonts w:ascii="Times New Roman" w:hAnsi="Times New Roman" w:cs="Times New Roman"/>
          <w:sz w:val="28"/>
          <w:szCs w:val="28"/>
        </w:rPr>
        <w:t>территориальной программы ОМС: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(за исключением высокотехнологичной медицинской помощи в 2014 году) при заболеваниях и состояниях, указанных в разделе III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осуществляется финансовое обеспечение мероприятий по 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профилактическим медицинским осмотрам отдельных категорий граждан, указанных в разделе III Программы,</w:t>
      </w:r>
      <w:r w:rsidRPr="00B1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Pr="00B13BA5">
        <w:rPr>
          <w:rFonts w:ascii="Times New Roman" w:hAnsi="Times New Roman" w:cs="Times New Roman"/>
          <w:sz w:val="28"/>
          <w:szCs w:val="28"/>
        </w:rPr>
        <w:t xml:space="preserve">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реабилитации, осуществляемой в медицинских организациях, </w:t>
      </w:r>
      <w:r w:rsidRPr="003051F8">
        <w:rPr>
          <w:rFonts w:ascii="Times New Roman" w:hAnsi="Times New Roman" w:cs="Times New Roman"/>
          <w:sz w:val="28"/>
          <w:szCs w:val="28"/>
        </w:rPr>
        <w:t>в том числе в условиях санаторно-курортных организаций;</w:t>
      </w:r>
    </w:p>
    <w:p w:rsidR="006A566C" w:rsidRDefault="006A566C" w:rsidP="003D298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6F33">
        <w:rPr>
          <w:rFonts w:ascii="Times New Roman" w:hAnsi="Times New Roman" w:cs="Times New Roman"/>
          <w:sz w:val="28"/>
          <w:szCs w:val="28"/>
        </w:rPr>
        <w:t>осуществляется оплата курсов химиотерапии, проводимых пациентам (взрослым и детям) с онкологическими заболеваниями в соответствии со стандартами медицинской помощи, в том числе в условиях дневного стационара;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осуществляется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 в части видов медицинской помощи и по заболеваниям, входящим в территориальную  программу ОМС;</w:t>
      </w:r>
    </w:p>
    <w:p w:rsidR="006A566C" w:rsidRPr="004A6E98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23">
        <w:rPr>
          <w:rFonts w:ascii="Times New Roman" w:hAnsi="Times New Roman" w:cs="Times New Roman"/>
          <w:sz w:val="28"/>
          <w:szCs w:val="28"/>
        </w:rPr>
        <w:t>осуществляется финансовое обеспечение бригад скорой психиатрической помощи за счет межбюджетных трансфертов на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дополнительных видов и условий  оказания медицинской помощи, не установленных территориальной  программой ОМС.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в соответствии с законодательством Российской Федерации одному из родителей, иному члену семьи или законному представителю права на бесплатное совместное нахождение с ребенком до достижения им возраста четырех лет, а с ребенком старше указанного возраста – при наличии медицинских показаний,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пребывания, включая предоставление спального места и питания,  и финансируется за счет средств  обязательного медицинского страхования по видам  медицинской помощи и заболеваниям (состояниям), включенным в территориальную программу ОМС.</w:t>
      </w:r>
    </w:p>
    <w:p w:rsidR="006A566C" w:rsidRPr="00BD0212" w:rsidRDefault="006A566C" w:rsidP="00A670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D0212">
        <w:rPr>
          <w:rFonts w:ascii="Times New Roman" w:hAnsi="Times New Roman" w:cs="Times New Roman"/>
          <w:sz w:val="28"/>
          <w:szCs w:val="28"/>
        </w:rPr>
        <w:t xml:space="preserve">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пациенту, финансируются за счет средств обязательного медицинского страхования по видам  медицинской помощи и заболеваниям (состояниям), включенным в территориальную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BD0212">
        <w:rPr>
          <w:rFonts w:ascii="Times New Roman" w:hAnsi="Times New Roman" w:cs="Times New Roman"/>
          <w:sz w:val="28"/>
          <w:szCs w:val="28"/>
        </w:rPr>
        <w:t>.</w:t>
      </w:r>
    </w:p>
    <w:p w:rsidR="006A566C" w:rsidRPr="00892A6D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A6D">
        <w:rPr>
          <w:rFonts w:ascii="Times New Roman" w:hAnsi="Times New Roman" w:cs="Times New Roman"/>
          <w:sz w:val="28"/>
          <w:szCs w:val="28"/>
        </w:rPr>
        <w:t>4.3. За счет бюджетных ассигнований федерального бюджета осуществляется финансовое обеспечение: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A6D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</w:t>
      </w:r>
      <w:r w:rsidRPr="00B13BA5">
        <w:rPr>
          <w:rFonts w:ascii="Times New Roman" w:hAnsi="Times New Roman" w:cs="Times New Roman"/>
          <w:sz w:val="28"/>
          <w:szCs w:val="28"/>
        </w:rPr>
        <w:t>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медицинской эвакуации, осуществляемой федеральными медицинскими организациями по перечню, утверждаемому Министерством здравоохранения Российской Федерации;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в рамках территориальных программ </w:t>
      </w:r>
      <w:r w:rsidRPr="00B13BA5">
        <w:rPr>
          <w:rFonts w:ascii="Times New Roman" w:hAnsi="Times New Roman" w:cs="Times New Roman"/>
          <w:sz w:val="28"/>
          <w:szCs w:val="28"/>
        </w:rPr>
        <w:t>обязательного медицинск</w:t>
      </w:r>
      <w:r>
        <w:rPr>
          <w:rFonts w:ascii="Times New Roman" w:hAnsi="Times New Roman" w:cs="Times New Roman"/>
          <w:sz w:val="28"/>
          <w:szCs w:val="28"/>
        </w:rPr>
        <w:t>ого страхования (до 1 января 2015 г.)</w:t>
      </w:r>
      <w:r w:rsidRPr="00B13BA5">
        <w:rPr>
          <w:rFonts w:ascii="Times New Roman" w:hAnsi="Times New Roman" w:cs="Times New Roman"/>
          <w:sz w:val="28"/>
          <w:szCs w:val="28"/>
        </w:rPr>
        <w:t>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соответствии с перечнем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(до 1 января 2015 г.)</w:t>
      </w:r>
      <w:r w:rsidRPr="00B13BA5">
        <w:rPr>
          <w:rFonts w:ascii="Times New Roman" w:hAnsi="Times New Roman" w:cs="Times New Roman"/>
          <w:sz w:val="28"/>
          <w:szCs w:val="28"/>
        </w:rPr>
        <w:t>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санаторно-курортного лечения отдельных категорий граждан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установленном порядке краевому бюджету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 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</w:p>
    <w:p w:rsidR="006A566C" w:rsidRPr="003C4B60" w:rsidRDefault="006A566C" w:rsidP="00C33BB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4B60">
        <w:rPr>
          <w:sz w:val="28"/>
          <w:szCs w:val="28"/>
        </w:rPr>
        <w:t xml:space="preserve">предоставления в установленном порядке </w:t>
      </w:r>
      <w:r>
        <w:rPr>
          <w:sz w:val="28"/>
          <w:szCs w:val="28"/>
        </w:rPr>
        <w:t xml:space="preserve">краевому </w:t>
      </w:r>
      <w:r w:rsidRPr="003C4B60">
        <w:rPr>
          <w:sz w:val="28"/>
          <w:szCs w:val="28"/>
        </w:rPr>
        <w:t xml:space="preserve">бюджету субвенций на оказание государственной социальной помощи отдельным категориям 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</w:t>
      </w:r>
      <w:r>
        <w:rPr>
          <w:sz w:val="28"/>
          <w:szCs w:val="28"/>
        </w:rPr>
        <w:t xml:space="preserve">  </w:t>
      </w:r>
      <w:r w:rsidRPr="003C4B60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 </w:t>
      </w:r>
      <w:r w:rsidRPr="003C4B6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Pr="003C4B60">
        <w:rPr>
          <w:sz w:val="28"/>
          <w:szCs w:val="28"/>
        </w:rPr>
        <w:t xml:space="preserve">детей-инвалидов </w:t>
      </w:r>
      <w:r>
        <w:rPr>
          <w:sz w:val="28"/>
          <w:szCs w:val="28"/>
        </w:rPr>
        <w:t xml:space="preserve">   </w:t>
      </w:r>
      <w:r w:rsidRPr="003C4B60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3C4B60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3C4B60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 xml:space="preserve">          </w:t>
      </w:r>
      <w:r w:rsidRPr="003C4B6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1 статьи 6.2 Федерального закона от </w:t>
      </w:r>
      <w:r w:rsidRPr="003C4B60">
        <w:rPr>
          <w:sz w:val="28"/>
          <w:szCs w:val="28"/>
        </w:rPr>
        <w:t xml:space="preserve">17 июля 1999 </w:t>
      </w:r>
      <w:r>
        <w:rPr>
          <w:sz w:val="28"/>
          <w:szCs w:val="28"/>
        </w:rPr>
        <w:t xml:space="preserve">года </w:t>
      </w:r>
      <w:r w:rsidRPr="003C4B60">
        <w:rPr>
          <w:sz w:val="28"/>
          <w:szCs w:val="28"/>
        </w:rPr>
        <w:t>№ 178-ФЗ  «О государственной социальной помощи»;</w:t>
      </w:r>
    </w:p>
    <w:p w:rsidR="006A566C" w:rsidRPr="0070026C" w:rsidRDefault="006A566C" w:rsidP="00C33B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6C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A566C" w:rsidRPr="001578F3" w:rsidRDefault="006A566C" w:rsidP="001578F3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578F3">
        <w:rPr>
          <w:sz w:val="28"/>
          <w:szCs w:val="28"/>
        </w:rPr>
        <w:t>При оказании в 2014 году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 и состояниях, включенных в базовую программу обязательного медицинского страхования,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обязательного медицинского страхования на территории Приморского края осуществляющей свою деятельность на основании постановления Администрации Приморского края (далее– Комиссия).</w:t>
      </w:r>
    </w:p>
    <w:p w:rsidR="006A566C" w:rsidRPr="00892A6D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A6D">
        <w:rPr>
          <w:rFonts w:ascii="Times New Roman" w:hAnsi="Times New Roman" w:cs="Times New Roman"/>
          <w:sz w:val="28"/>
          <w:szCs w:val="28"/>
        </w:rPr>
        <w:t xml:space="preserve">4.4. За счет средств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892A6D">
        <w:rPr>
          <w:rFonts w:ascii="Times New Roman" w:hAnsi="Times New Roman" w:cs="Times New Roman"/>
          <w:sz w:val="28"/>
          <w:szCs w:val="28"/>
        </w:rPr>
        <w:t>бюджета осуществляется финансовое обеспечение: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скорой, в том числе скорой специализ</w:t>
      </w:r>
      <w:r>
        <w:rPr>
          <w:rFonts w:ascii="Times New Roman" w:hAnsi="Times New Roman" w:cs="Times New Roman"/>
          <w:sz w:val="28"/>
          <w:szCs w:val="28"/>
        </w:rPr>
        <w:t xml:space="preserve">ированной, медицинской помощи </w:t>
      </w:r>
      <w:r w:rsidRPr="00B13BA5">
        <w:rPr>
          <w:rFonts w:ascii="Times New Roman" w:hAnsi="Times New Roman" w:cs="Times New Roman"/>
          <w:sz w:val="28"/>
          <w:szCs w:val="28"/>
        </w:rPr>
        <w:t>в части медицин</w:t>
      </w:r>
      <w:r>
        <w:rPr>
          <w:rFonts w:ascii="Times New Roman" w:hAnsi="Times New Roman" w:cs="Times New Roman"/>
          <w:sz w:val="28"/>
          <w:szCs w:val="28"/>
        </w:rPr>
        <w:t>ской помощи, не включенной в т</w:t>
      </w:r>
      <w:r w:rsidRPr="00B13BA5">
        <w:rPr>
          <w:rFonts w:ascii="Times New Roman" w:hAnsi="Times New Roman" w:cs="Times New Roman"/>
          <w:sz w:val="28"/>
          <w:szCs w:val="28"/>
        </w:rPr>
        <w:t>ерриториальную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Pr="00B13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застрахованным по обязательному медицинскому страхованию лицам, специализированной санитарно-авиационной скорой медицинской помощи, </w:t>
      </w:r>
      <w:r w:rsidRPr="00B13BA5">
        <w:rPr>
          <w:rFonts w:ascii="Times New Roman" w:hAnsi="Times New Roman" w:cs="Times New Roman"/>
          <w:sz w:val="28"/>
          <w:szCs w:val="28"/>
        </w:rPr>
        <w:t>а также расходов, не включенных в структуру тарифов на оплату медицин</w:t>
      </w:r>
      <w:r>
        <w:rPr>
          <w:rFonts w:ascii="Times New Roman" w:hAnsi="Times New Roman" w:cs="Times New Roman"/>
          <w:sz w:val="28"/>
          <w:szCs w:val="28"/>
        </w:rPr>
        <w:t>ской помощи, предусмотренную в т</w:t>
      </w:r>
      <w:r w:rsidRPr="00B13BA5">
        <w:rPr>
          <w:rFonts w:ascii="Times New Roman" w:hAnsi="Times New Roman" w:cs="Times New Roman"/>
          <w:sz w:val="28"/>
          <w:szCs w:val="28"/>
        </w:rPr>
        <w:t>ерриториальной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B13BA5">
        <w:rPr>
          <w:rFonts w:ascii="Times New Roman" w:hAnsi="Times New Roman" w:cs="Times New Roman"/>
          <w:sz w:val="28"/>
          <w:szCs w:val="28"/>
        </w:rPr>
        <w:t>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B13BA5">
        <w:rPr>
          <w:rFonts w:ascii="Times New Roman" w:hAnsi="Times New Roman" w:cs="Times New Roman"/>
          <w:sz w:val="28"/>
          <w:szCs w:val="28"/>
        </w:rPr>
        <w:t>и психотропных веществ), а также в части расходов, не включенных в структуру тарифов на оплату медицин</w:t>
      </w:r>
      <w:r>
        <w:rPr>
          <w:rFonts w:ascii="Times New Roman" w:hAnsi="Times New Roman" w:cs="Times New Roman"/>
          <w:sz w:val="28"/>
          <w:szCs w:val="28"/>
        </w:rPr>
        <w:t>ской помощи, предусмотренную в т</w:t>
      </w:r>
      <w:r w:rsidRPr="00B13BA5">
        <w:rPr>
          <w:rFonts w:ascii="Times New Roman" w:hAnsi="Times New Roman" w:cs="Times New Roman"/>
          <w:sz w:val="28"/>
          <w:szCs w:val="28"/>
        </w:rPr>
        <w:t>ерриториальной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  <w:r w:rsidRPr="00B13BA5">
        <w:rPr>
          <w:rFonts w:ascii="Times New Roman" w:hAnsi="Times New Roman" w:cs="Times New Roman"/>
          <w:sz w:val="28"/>
          <w:szCs w:val="28"/>
        </w:rPr>
        <w:t>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паллиативной медицинской помощи;</w:t>
      </w:r>
    </w:p>
    <w:p w:rsidR="006A566C" w:rsidRPr="00065C5E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E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помощи, оказываемой в </w:t>
      </w:r>
      <w:r>
        <w:rPr>
          <w:rFonts w:ascii="Times New Roman" w:hAnsi="Times New Roman" w:cs="Times New Roman"/>
          <w:sz w:val="28"/>
          <w:szCs w:val="28"/>
        </w:rPr>
        <w:t xml:space="preserve">краевых государственных медицинских организациях, </w:t>
      </w:r>
      <w:r w:rsidRPr="00065C5E">
        <w:rPr>
          <w:rFonts w:ascii="Times New Roman" w:hAnsi="Times New Roman" w:cs="Times New Roman"/>
          <w:sz w:val="28"/>
          <w:szCs w:val="28"/>
        </w:rPr>
        <w:t xml:space="preserve">по профилям и в объемах, определяемых приказами </w:t>
      </w:r>
      <w:r>
        <w:rPr>
          <w:rFonts w:ascii="Times New Roman" w:hAnsi="Times New Roman" w:cs="Times New Roman"/>
          <w:sz w:val="28"/>
          <w:szCs w:val="28"/>
        </w:rPr>
        <w:t>Департамента (до 1 января 2015 г.)</w:t>
      </w:r>
      <w:r w:rsidRPr="00065C5E">
        <w:rPr>
          <w:rFonts w:ascii="Times New Roman" w:hAnsi="Times New Roman" w:cs="Times New Roman"/>
          <w:sz w:val="28"/>
          <w:szCs w:val="28"/>
        </w:rPr>
        <w:t>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86B">
        <w:rPr>
          <w:rFonts w:ascii="Times New Roman" w:hAnsi="Times New Roman" w:cs="Times New Roman"/>
          <w:sz w:val="28"/>
          <w:szCs w:val="28"/>
        </w:rPr>
        <w:t>оплаты стоимости проезда гражданам при оказании специализированной, в том числе высокотехнологичной, медицинской помощи в федеральных специализированных медицинских организациях - в пределах квот, выделяемых Министерством здравоохранения Российской Федерации;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86B">
        <w:rPr>
          <w:rFonts w:ascii="Times New Roman" w:hAnsi="Times New Roman" w:cs="Times New Roman"/>
          <w:sz w:val="28"/>
          <w:szCs w:val="28"/>
        </w:rPr>
        <w:t xml:space="preserve">медицинской помощи, медицинских и иных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A286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EA286B">
        <w:rPr>
          <w:rFonts w:ascii="Times New Roman" w:hAnsi="Times New Roman" w:cs="Times New Roman"/>
          <w:sz w:val="28"/>
          <w:szCs w:val="28"/>
        </w:rPr>
        <w:t>в краевых государственных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, за исключением видов медицинской помощи, оказываемой за счет средств обязательного медицинского страхования</w:t>
      </w:r>
      <w:r w:rsidRPr="00EA286B">
        <w:rPr>
          <w:rFonts w:ascii="Times New Roman" w:hAnsi="Times New Roman" w:cs="Times New Roman"/>
          <w:sz w:val="28"/>
          <w:szCs w:val="28"/>
        </w:rPr>
        <w:t>: центре по профилактике и борьбе с синдромом приобретенного иммунодефицита и инфекционными заболеваниями, врачебно-физкультурных диспансерах, центрах планирования семьи и репродукции, центрах охраны репродуктивного здоровья подростков, медико-генетической консультации, центре патологии слуха, центре вакцинопрофилактики, центре восстановительной медицины и реабилитации (в части социальной реабилитации), центрах медицинской профилактики (за исключением первичной медико-санитарной помощи, включенной в базовую программу ОМС), центре профессиональной патологии, бюро судебно-медицинской экспертизы, патологоанатомических бюро, медицинском информационно-аналитическом центре, бюро медицинской статистики, на станциях переливания крови, домах ребенка, включая специализированные, и в прочих медицинских организациях, входящих в номенклатуру учреждений здравоохранения, утверждаемую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66C" w:rsidRPr="00EA286B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краевых государственных медицинских организаций в части капитального ремонта и проектно-сметной документации для его проведения, оборудования стоимостью свыше 100 тысяч рублей за единицу.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Pr="00B13BA5">
        <w:rPr>
          <w:rFonts w:ascii="Times New Roman" w:hAnsi="Times New Roman" w:cs="Times New Roman"/>
          <w:sz w:val="28"/>
          <w:szCs w:val="28"/>
        </w:rPr>
        <w:t>а счет средств бюджетных ассигнований краевого бюджета осуществляется: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зарегистрированными в установленном порядке на территории Российской Федерации </w:t>
      </w:r>
      <w:r w:rsidRPr="00B13BA5">
        <w:rPr>
          <w:rFonts w:ascii="Times New Roman" w:hAnsi="Times New Roman" w:cs="Times New Roman"/>
          <w:sz w:val="28"/>
          <w:szCs w:val="28"/>
        </w:rPr>
        <w:t xml:space="preserve">лекарственными препаратами </w:t>
      </w:r>
      <w:r>
        <w:rPr>
          <w:rFonts w:ascii="Times New Roman" w:hAnsi="Times New Roman" w:cs="Times New Roman"/>
          <w:sz w:val="28"/>
          <w:szCs w:val="28"/>
        </w:rPr>
        <w:t>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 и его инвалидности;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B13BA5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B13BA5">
        <w:rPr>
          <w:rFonts w:ascii="Times New Roman" w:hAnsi="Times New Roman" w:cs="Times New Roman"/>
          <w:sz w:val="28"/>
          <w:szCs w:val="28"/>
        </w:rPr>
        <w:t>отпускают</w:t>
      </w:r>
      <w:r>
        <w:rPr>
          <w:rFonts w:ascii="Times New Roman" w:hAnsi="Times New Roman" w:cs="Times New Roman"/>
          <w:sz w:val="28"/>
          <w:szCs w:val="28"/>
        </w:rPr>
        <w:t>ся по рецептам врачей бесплатно;</w:t>
      </w:r>
      <w:r w:rsidRPr="00B13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</w:t>
      </w:r>
      <w:r>
        <w:rPr>
          <w:rFonts w:ascii="Times New Roman" w:hAnsi="Times New Roman" w:cs="Times New Roman"/>
          <w:sz w:val="28"/>
          <w:szCs w:val="28"/>
        </w:rPr>
        <w:t>вии с перечнем групп населения</w:t>
      </w:r>
      <w:r w:rsidRPr="00B13BA5">
        <w:rPr>
          <w:rFonts w:ascii="Times New Roman" w:hAnsi="Times New Roman" w:cs="Times New Roman"/>
          <w:sz w:val="28"/>
          <w:szCs w:val="28"/>
        </w:rPr>
        <w:t>, при амбулаторном лечении которых лекарственные препараты и отпускают</w:t>
      </w:r>
      <w:r>
        <w:rPr>
          <w:rFonts w:ascii="Times New Roman" w:hAnsi="Times New Roman" w:cs="Times New Roman"/>
          <w:sz w:val="28"/>
          <w:szCs w:val="28"/>
        </w:rPr>
        <w:t>ся по рецептам врачей с 50-процентной скидкой;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EC2BF5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в части размещения заказов на поставки товаров,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отпускаютс</w:t>
      </w:r>
      <w:r>
        <w:rPr>
          <w:rFonts w:ascii="Times New Roman" w:hAnsi="Times New Roman" w:cs="Times New Roman"/>
          <w:sz w:val="28"/>
          <w:szCs w:val="28"/>
        </w:rPr>
        <w:t>я по рецептам врачей бесплатно.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За счет средств бюджетных ассигнований краевого бюджета осуществляется: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8E">
        <w:rPr>
          <w:rFonts w:ascii="Times New Roman" w:hAnsi="Times New Roman" w:cs="Times New Roman"/>
          <w:sz w:val="28"/>
          <w:szCs w:val="28"/>
        </w:rPr>
        <w:t>обеспечение краевых государственных медицинских организаций донорской кровью и её компонентами в Порядке, утвержденном  постановлением Администрации Приморского края от 22.05.2008 № 111-па «О Порядке обеспечения краевых государственных и муниципальных учреждений здравоохранения донорской кровью и ее компонентами»;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осмотров врачами краевых государственных медицинских организаций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 в части видов медицинской помощи и по заболеваниям, не входящим в территориальную программу ОМС;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расходов,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гражданам, при заболеваниях и состояниях, входящих в территориальную программу ОМС, медицинскими организациями, включенными в перечень медицинских организаций, участвующих в реализации Программы;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граждан </w:t>
      </w:r>
      <w:r w:rsidRPr="00892DCF">
        <w:rPr>
          <w:rFonts w:ascii="Times New Roman" w:hAnsi="Times New Roman" w:cs="Times New Roman"/>
          <w:sz w:val="28"/>
          <w:szCs w:val="28"/>
        </w:rPr>
        <w:t>на состояние опьянения по направл</w:t>
      </w:r>
      <w:r>
        <w:rPr>
          <w:rFonts w:ascii="Times New Roman" w:hAnsi="Times New Roman" w:cs="Times New Roman"/>
          <w:sz w:val="28"/>
          <w:szCs w:val="28"/>
        </w:rPr>
        <w:t>ению правоохранительных органов.</w:t>
      </w:r>
    </w:p>
    <w:p w:rsidR="006A566C" w:rsidRPr="00B13BA5" w:rsidRDefault="006A566C" w:rsidP="00A670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07327">
        <w:rPr>
          <w:rFonts w:ascii="Times New Roman" w:hAnsi="Times New Roman" w:cs="Times New Roman"/>
          <w:sz w:val="28"/>
          <w:szCs w:val="28"/>
        </w:rPr>
        <w:t xml:space="preserve">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пациенту, </w:t>
      </w:r>
      <w:r>
        <w:rPr>
          <w:rFonts w:ascii="Times New Roman" w:hAnsi="Times New Roman" w:cs="Times New Roman"/>
          <w:sz w:val="28"/>
          <w:szCs w:val="28"/>
        </w:rPr>
        <w:t xml:space="preserve">финансируются за счет краевого бюджета </w:t>
      </w:r>
      <w:r w:rsidRPr="00F07327">
        <w:rPr>
          <w:rFonts w:ascii="Times New Roman" w:hAnsi="Times New Roman" w:cs="Times New Roman"/>
          <w:sz w:val="28"/>
          <w:szCs w:val="28"/>
        </w:rPr>
        <w:t xml:space="preserve">по видам  медицинской помощи и заболеваниям (состояниям),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07327">
        <w:rPr>
          <w:rFonts w:ascii="Times New Roman" w:hAnsi="Times New Roman" w:cs="Times New Roman"/>
          <w:sz w:val="28"/>
          <w:szCs w:val="28"/>
        </w:rPr>
        <w:t xml:space="preserve">включенным в территориальную программу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07327">
        <w:rPr>
          <w:rFonts w:ascii="Times New Roman" w:hAnsi="Times New Roman" w:cs="Times New Roman"/>
          <w:sz w:val="28"/>
          <w:szCs w:val="28"/>
        </w:rPr>
        <w:t>.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A5">
        <w:rPr>
          <w:rFonts w:ascii="Times New Roman" w:hAnsi="Times New Roman" w:cs="Times New Roman"/>
          <w:sz w:val="28"/>
          <w:szCs w:val="28"/>
        </w:rPr>
        <w:t>Финансовое обеспечение оказания высокотехнологичной медицинской помощи з</w:t>
      </w:r>
      <w:r>
        <w:rPr>
          <w:rFonts w:ascii="Times New Roman" w:hAnsi="Times New Roman" w:cs="Times New Roman"/>
          <w:sz w:val="28"/>
          <w:szCs w:val="28"/>
        </w:rPr>
        <w:t xml:space="preserve">а счет краевого бюджета </w:t>
      </w:r>
      <w:r w:rsidRPr="00B13BA5">
        <w:rPr>
          <w:rFonts w:ascii="Times New Roman" w:hAnsi="Times New Roman" w:cs="Times New Roman"/>
          <w:sz w:val="28"/>
          <w:szCs w:val="28"/>
        </w:rPr>
        <w:t>осуществляется в форме субсидий, предоставляемы</w:t>
      </w:r>
      <w:r>
        <w:rPr>
          <w:rFonts w:ascii="Times New Roman" w:hAnsi="Times New Roman" w:cs="Times New Roman"/>
          <w:sz w:val="28"/>
          <w:szCs w:val="28"/>
        </w:rPr>
        <w:t xml:space="preserve">х бюджетным учреждениям в порядке, установленном постановлением Администрации Приморского края от 02.06.2011 года № 144-па «О государственных заданиях краевым государственным казенным и бюджетным учреждениям», автономным </w:t>
      </w:r>
      <w:r w:rsidRPr="00B13BA5">
        <w:rPr>
          <w:rFonts w:ascii="Times New Roman" w:hAnsi="Times New Roman" w:cs="Times New Roman"/>
          <w:sz w:val="28"/>
          <w:szCs w:val="28"/>
        </w:rPr>
        <w:t xml:space="preserve">учреждениям в </w:t>
      </w:r>
      <w:hyperlink r:id="rId23" w:history="1">
        <w:r w:rsidRPr="00613EA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3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Администрации Приморского края от 22.10.2010 года № 343-па «Об автономных учреждениях Приморского края»,  и направляемых: 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на оплату труда и начисления на выплаты по оплате труда работников медицинских организаций;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на приобретение лекарственных препаратов и расходных материалов, включая оплату дорогостоящих расходных материалов, в том числе имплантов, имплантантов и других изделий медицинского назначения, вживляемых в организм человека, предусматриваемых стандартами медицинской помощи, утверждаемыми Министерством здрав</w:t>
      </w:r>
      <w:r>
        <w:rPr>
          <w:rFonts w:ascii="Times New Roman" w:hAnsi="Times New Roman" w:cs="Times New Roman"/>
          <w:sz w:val="28"/>
          <w:szCs w:val="28"/>
        </w:rPr>
        <w:t>оохранения Российской Федерации;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продуктов питания, мягкого инвентаря, медицинского инструментария, реактивов и химикатов, прочих материальных запасов, на оплату стоимости лабораторных и инструментальных исследований, на оплату услуг связи, транспортных услуг, работ и услуг по содержанию имущества, на оплату программного обеспечения и прочих услуг, на приобретение оборудования.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 xml:space="preserve">В случае признания Приморского края получателем субсидий федерального бюджета в </w:t>
      </w:r>
      <w:hyperlink r:id="rId24" w:history="1">
        <w:r w:rsidRPr="002E22C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устанавленном</w:t>
      </w:r>
      <w:r w:rsidRPr="00B1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B13B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21.12.2011 года № 1062 «О предоставлении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оказании высокотехнологичной медицинской помощи гражданам Российской Федерации»</w:t>
      </w:r>
      <w:r w:rsidRPr="00B13BA5">
        <w:rPr>
          <w:rFonts w:ascii="Times New Roman" w:hAnsi="Times New Roman" w:cs="Times New Roman"/>
          <w:sz w:val="28"/>
          <w:szCs w:val="28"/>
        </w:rPr>
        <w:t>, средства, полученные на выполнение государственного задания, источником которых является субсидия из федерального бюджета, расходуются в соответствии с Соглашением о предоставлении субсидии из федерального бюджета краевому бюджету на софинансирование расходных обязательств Приморского края, возникших при оказании высокотехнологичной медицинской помощи гражданам Российской Федерации.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A5">
        <w:rPr>
          <w:rFonts w:ascii="Times New Roman" w:hAnsi="Times New Roman" w:cs="Times New Roman"/>
          <w:sz w:val="28"/>
          <w:szCs w:val="28"/>
        </w:rPr>
        <w:t>Финансовое обеспечение специализированной медицинской помощи, в том числе высокотехнологичной, оказываемой населению сверх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13BA5">
        <w:rPr>
          <w:rFonts w:ascii="Times New Roman" w:hAnsi="Times New Roman" w:cs="Times New Roman"/>
          <w:sz w:val="28"/>
          <w:szCs w:val="28"/>
        </w:rPr>
        <w:t>, осуществляется за счет средств добровольного медицинского страхования и личных средств граждан.</w:t>
      </w:r>
    </w:p>
    <w:p w:rsidR="006A566C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7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27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A5">
        <w:rPr>
          <w:rFonts w:ascii="Times New Roman" w:hAnsi="Times New Roman" w:cs="Times New Roman"/>
          <w:sz w:val="28"/>
          <w:szCs w:val="28"/>
        </w:rPr>
        <w:t>Расходование средств краевого бюджета осуществляется в соответствии со сводной бюджетной росписью краевого бюджета, кассовым планом исполнения краевого бюджета в пределах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Д</w:t>
      </w:r>
      <w:r w:rsidRPr="00B13BA5">
        <w:rPr>
          <w:rFonts w:ascii="Times New Roman" w:hAnsi="Times New Roman" w:cs="Times New Roman"/>
          <w:sz w:val="28"/>
          <w:szCs w:val="28"/>
        </w:rPr>
        <w:t>епартаменту на соответствующий финансовый год на указанные цели.</w:t>
      </w:r>
    </w:p>
    <w:p w:rsidR="006A566C" w:rsidRPr="00B13BA5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Финансовое обеспечение медицинского освидетельствования в целях определения годности граждан к военной службе,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нормативы, установленные Программой.</w:t>
      </w:r>
    </w:p>
    <w:p w:rsidR="006A566C" w:rsidRPr="00A60181" w:rsidRDefault="006A566C" w:rsidP="003D29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Default="006A566C" w:rsidP="003D298E">
      <w:pPr>
        <w:widowControl w:val="0"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ОБЪЕМ МЕДИЦИНСКОЙ ПОМОЩИ, </w:t>
      </w:r>
      <w:r w:rsidRPr="009D1E42">
        <w:rPr>
          <w:sz w:val="28"/>
          <w:szCs w:val="28"/>
        </w:rPr>
        <w:t>Н</w:t>
      </w:r>
      <w:r>
        <w:rPr>
          <w:sz w:val="28"/>
          <w:szCs w:val="28"/>
        </w:rPr>
        <w:t>ОРМАТИВЫ ОБЪЕМА ПРЕДОСТАВЛЕНИЯ МЕДИЦИНСКОЙ ПОМОЩИ</w:t>
      </w:r>
    </w:p>
    <w:p w:rsidR="006A566C" w:rsidRDefault="006A566C" w:rsidP="003D298E">
      <w:pPr>
        <w:widowControl w:val="0"/>
        <w:autoSpaceDE w:val="0"/>
        <w:jc w:val="center"/>
        <w:rPr>
          <w:b/>
          <w:sz w:val="28"/>
          <w:szCs w:val="28"/>
        </w:rPr>
      </w:pPr>
    </w:p>
    <w:p w:rsidR="006A566C" w:rsidRPr="009D1E42" w:rsidRDefault="006A566C" w:rsidP="003D298E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Объем медицинской помощи по ее видам в </w:t>
      </w:r>
      <w:r w:rsidRPr="009D1E42">
        <w:rPr>
          <w:sz w:val="28"/>
          <w:szCs w:val="28"/>
        </w:rPr>
        <w:t xml:space="preserve">целом по </w:t>
      </w:r>
      <w:r>
        <w:rPr>
          <w:sz w:val="28"/>
          <w:szCs w:val="28"/>
        </w:rPr>
        <w:t>Программе рассчитывае</w:t>
      </w:r>
      <w:r w:rsidRPr="009D1E42">
        <w:rPr>
          <w:sz w:val="28"/>
          <w:szCs w:val="28"/>
        </w:rPr>
        <w:t xml:space="preserve">тся в единицах объема на 1 </w:t>
      </w:r>
      <w:r>
        <w:rPr>
          <w:sz w:val="28"/>
          <w:szCs w:val="28"/>
        </w:rPr>
        <w:t>жителя</w:t>
      </w:r>
      <w:r w:rsidRPr="009D1E42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  <w:r w:rsidRPr="009D1E42">
        <w:rPr>
          <w:sz w:val="28"/>
          <w:szCs w:val="28"/>
        </w:rPr>
        <w:t xml:space="preserve"> Нормативы объема медицинской помощи по ее видам в</w:t>
      </w:r>
      <w:r>
        <w:rPr>
          <w:sz w:val="28"/>
          <w:szCs w:val="28"/>
        </w:rPr>
        <w:t xml:space="preserve"> рамках территориальной программы ОМС</w:t>
      </w:r>
      <w:r w:rsidRPr="00024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рассчитываются </w:t>
      </w:r>
      <w:r w:rsidRPr="009D1E42">
        <w:rPr>
          <w:sz w:val="28"/>
          <w:szCs w:val="28"/>
        </w:rPr>
        <w:t>на 1 застрахованное лицо.</w:t>
      </w:r>
      <w:r>
        <w:rPr>
          <w:sz w:val="28"/>
          <w:szCs w:val="28"/>
        </w:rPr>
        <w:t xml:space="preserve"> Объем медицинской помощи, нормативы объема медицинской помощи используются в целях планирования и финансово-экономического обоснования размера подушевых нормативов финансирования, предусмотренных  Программой, и составляют:</w:t>
      </w:r>
    </w:p>
    <w:p w:rsidR="006A566C" w:rsidRPr="00E3602A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 w:rsidRPr="00ED191B">
        <w:rPr>
          <w:sz w:val="28"/>
          <w:szCs w:val="28"/>
        </w:rPr>
        <w:t xml:space="preserve">для скорой медицинской помощи вне медицинской организации, включая медицинскую </w:t>
      </w:r>
      <w:r>
        <w:rPr>
          <w:sz w:val="28"/>
          <w:szCs w:val="28"/>
        </w:rPr>
        <w:t>эвакуацию, на 201</w:t>
      </w:r>
      <w:r w:rsidRPr="00E3602A">
        <w:rPr>
          <w:sz w:val="28"/>
          <w:szCs w:val="28"/>
        </w:rPr>
        <w:t>4</w:t>
      </w:r>
      <w:r>
        <w:rPr>
          <w:sz w:val="28"/>
          <w:szCs w:val="28"/>
        </w:rPr>
        <w:t> - 201</w:t>
      </w:r>
      <w:r w:rsidRPr="00E3602A">
        <w:rPr>
          <w:sz w:val="28"/>
          <w:szCs w:val="28"/>
        </w:rPr>
        <w:t>6</w:t>
      </w:r>
      <w:r w:rsidRPr="00ED191B">
        <w:rPr>
          <w:sz w:val="28"/>
          <w:szCs w:val="28"/>
        </w:rPr>
        <w:t xml:space="preserve"> годы </w:t>
      </w:r>
      <w:r>
        <w:rPr>
          <w:sz w:val="28"/>
          <w:szCs w:val="28"/>
        </w:rPr>
        <w:t xml:space="preserve">– в рамках территориальной программы ОМС  - </w:t>
      </w:r>
      <w:r w:rsidRPr="00FE6352">
        <w:rPr>
          <w:sz w:val="28"/>
          <w:szCs w:val="28"/>
        </w:rPr>
        <w:t>0,318 вызова</w:t>
      </w:r>
      <w:r w:rsidRPr="00024C68">
        <w:rPr>
          <w:sz w:val="28"/>
          <w:szCs w:val="28"/>
        </w:rPr>
        <w:t xml:space="preserve"> на 1 </w:t>
      </w:r>
      <w:r>
        <w:rPr>
          <w:sz w:val="28"/>
          <w:szCs w:val="28"/>
        </w:rPr>
        <w:t>застрахованное лицо;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– 2,761 посещения на 1 жителя, в рамках территориальной программы ОМС – </w:t>
      </w:r>
      <w:r w:rsidRPr="00884DFD">
        <w:rPr>
          <w:sz w:val="28"/>
          <w:szCs w:val="28"/>
        </w:rPr>
        <w:t>2,583</w:t>
      </w:r>
      <w:r>
        <w:rPr>
          <w:sz w:val="28"/>
          <w:szCs w:val="28"/>
        </w:rPr>
        <w:t xml:space="preserve"> посещения на 1 застрахованное лицо, на 2015 год – 2,528 посещения на 1 жителя, в рамках территориальной программы ОМС – </w:t>
      </w:r>
      <w:r w:rsidRPr="00884DFD">
        <w:rPr>
          <w:sz w:val="28"/>
          <w:szCs w:val="28"/>
        </w:rPr>
        <w:t>2,350</w:t>
      </w:r>
      <w:r>
        <w:rPr>
          <w:sz w:val="28"/>
          <w:szCs w:val="28"/>
        </w:rPr>
        <w:t xml:space="preserve"> посещения на 1 застрахованное лицо, на 2016 год – 2,558 посещения на 1 жителя, в рамках территориальной программы ОМС – </w:t>
      </w:r>
      <w:r w:rsidRPr="00884DFD">
        <w:rPr>
          <w:sz w:val="28"/>
          <w:szCs w:val="28"/>
        </w:rPr>
        <w:t>2,380</w:t>
      </w:r>
      <w:r>
        <w:rPr>
          <w:sz w:val="28"/>
          <w:szCs w:val="28"/>
        </w:rPr>
        <w:t xml:space="preserve"> посещения на 1 застрахованное лицо;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на 2014 год – 2,157 обращения (законченного случая лечения заболевания в амбулаторных условиях с кратностью посещений по поводу одного заболевания не менее 2) на 1 жителя, в рамках территориальной программы ОМС – </w:t>
      </w:r>
      <w:r w:rsidRPr="00C96731">
        <w:rPr>
          <w:sz w:val="28"/>
          <w:szCs w:val="28"/>
        </w:rPr>
        <w:t>1,920</w:t>
      </w:r>
      <w:r>
        <w:rPr>
          <w:sz w:val="28"/>
          <w:szCs w:val="28"/>
        </w:rPr>
        <w:t xml:space="preserve"> обращения на 1 застрахованное лицо, на 2015 год – 2,187 обращения</w:t>
      </w:r>
      <w:r w:rsidRPr="003C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жителя, в рамках территориальной программы ОМС – </w:t>
      </w:r>
      <w:r w:rsidRPr="00C96731">
        <w:rPr>
          <w:sz w:val="28"/>
          <w:szCs w:val="28"/>
        </w:rPr>
        <w:t>1,950</w:t>
      </w:r>
      <w:r>
        <w:rPr>
          <w:sz w:val="28"/>
          <w:szCs w:val="28"/>
        </w:rPr>
        <w:t xml:space="preserve"> обращения на 1 застрахованное лицо, на 2016 год – 2,217 обращения</w:t>
      </w:r>
      <w:r w:rsidRPr="003C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жителя, в рамках территориальной программы ОМС – </w:t>
      </w:r>
      <w:r w:rsidRPr="003C0AF9">
        <w:rPr>
          <w:sz w:val="28"/>
          <w:szCs w:val="28"/>
        </w:rPr>
        <w:t>1,980</w:t>
      </w:r>
      <w:r>
        <w:rPr>
          <w:sz w:val="28"/>
          <w:szCs w:val="28"/>
        </w:rPr>
        <w:t xml:space="preserve"> обращения на 1 застрахованное лицо;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медицинской помощи в амбулаторных условиях, оказываемой в неотложной форме, в рамках</w:t>
      </w:r>
      <w:r w:rsidRPr="0087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программы ОМС – </w:t>
      </w:r>
      <w:r w:rsidRPr="008E33BE">
        <w:rPr>
          <w:sz w:val="28"/>
          <w:szCs w:val="28"/>
        </w:rPr>
        <w:t>0,216</w:t>
      </w:r>
      <w:r>
        <w:rPr>
          <w:sz w:val="28"/>
          <w:szCs w:val="28"/>
        </w:rPr>
        <w:t xml:space="preserve"> посещения на 1 застрахованное лицо, на 2015 год - </w:t>
      </w:r>
      <w:r w:rsidRPr="008E33BE">
        <w:rPr>
          <w:sz w:val="28"/>
          <w:szCs w:val="28"/>
        </w:rPr>
        <w:t>0,6</w:t>
      </w:r>
      <w:r>
        <w:rPr>
          <w:sz w:val="28"/>
          <w:szCs w:val="28"/>
        </w:rPr>
        <w:t xml:space="preserve"> посещения на 1 застрахованное лицо, на 2016 год - </w:t>
      </w:r>
      <w:r w:rsidRPr="008E33BE">
        <w:rPr>
          <w:sz w:val="28"/>
          <w:szCs w:val="28"/>
        </w:rPr>
        <w:t>0,6</w:t>
      </w:r>
      <w:r>
        <w:rPr>
          <w:sz w:val="28"/>
          <w:szCs w:val="28"/>
        </w:rPr>
        <w:t xml:space="preserve"> посещения на 1 застрахованное лицо;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медицинской помощи в условиях дневных стационаров на 2014 год – 0,619 пациенто-дня на 1 жителя, в рамках  территориальной программы ОМС – </w:t>
      </w:r>
      <w:r w:rsidRPr="008E33BE">
        <w:rPr>
          <w:sz w:val="28"/>
          <w:szCs w:val="28"/>
        </w:rPr>
        <w:t>0,559</w:t>
      </w:r>
      <w:r>
        <w:rPr>
          <w:sz w:val="28"/>
          <w:szCs w:val="28"/>
        </w:rPr>
        <w:t xml:space="preserve"> пациенто-дня  на 1 застрахованное лицо, на 2015 год – 0,65 пациенто-дня на 1 жителя, в рамках  территориальной программы ОМС – 0,59 пациенто-дня  на 1 застрахованное лицо, на 2016 год - 0,67 пациенто-дня на 1 жителя, в рамках  территориальной программы ОМС – 0,61 пациенто-дня  на 1 застрахованное лицо;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медицинской помощи в стационарных условиях на 2014 год – 0,197 случая госпитализации (законченного случая лечения в стационарных условиях) на 1 жителя, в рамках  территориальной программы ОМС – </w:t>
      </w:r>
      <w:r w:rsidRPr="002F2C5D">
        <w:rPr>
          <w:sz w:val="28"/>
          <w:szCs w:val="28"/>
        </w:rPr>
        <w:t>0,176</w:t>
      </w:r>
      <w:r>
        <w:rPr>
          <w:sz w:val="28"/>
          <w:szCs w:val="28"/>
        </w:rPr>
        <w:t xml:space="preserve"> случаев госпитализации</w:t>
      </w:r>
      <w:r w:rsidRPr="00CC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застрахованное лицо, на 2015 год – 0,193 случая госпитализации на 1 жителя, в рамках  территориальной программы ОМС – </w:t>
      </w:r>
      <w:r w:rsidRPr="002F2C5D">
        <w:rPr>
          <w:sz w:val="28"/>
          <w:szCs w:val="28"/>
        </w:rPr>
        <w:t>0,172</w:t>
      </w:r>
      <w:r>
        <w:rPr>
          <w:sz w:val="28"/>
          <w:szCs w:val="28"/>
        </w:rPr>
        <w:t xml:space="preserve"> случая госпитализации</w:t>
      </w:r>
      <w:r w:rsidRPr="00CC07EE">
        <w:rPr>
          <w:sz w:val="28"/>
          <w:szCs w:val="28"/>
        </w:rPr>
        <w:t xml:space="preserve"> </w:t>
      </w:r>
      <w:r>
        <w:rPr>
          <w:sz w:val="28"/>
          <w:szCs w:val="28"/>
        </w:rPr>
        <w:t>на 1 застрахованное лицо, на 2016 год – 0,193 случая госпитализации на 1 жителя, в рамках  территориальной программы ОМС</w:t>
      </w:r>
      <w:r w:rsidRPr="002F2C5D">
        <w:rPr>
          <w:sz w:val="28"/>
          <w:szCs w:val="28"/>
        </w:rPr>
        <w:t xml:space="preserve"> – 0,172</w:t>
      </w:r>
      <w:r>
        <w:rPr>
          <w:sz w:val="28"/>
          <w:szCs w:val="28"/>
        </w:rPr>
        <w:t xml:space="preserve"> случая госпитализации</w:t>
      </w:r>
      <w:r w:rsidRPr="00CC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застрахованное лицо, в том числе для медицинской реабилитации в </w:t>
      </w:r>
      <w:r w:rsidRPr="00CA27C9">
        <w:rPr>
          <w:sz w:val="28"/>
          <w:szCs w:val="28"/>
        </w:rPr>
        <w:t>специализированных больницах и центрах, оказывающих медицинскую помощь по профилю «Медицинская реабилитация», и</w:t>
      </w:r>
      <w:r>
        <w:rPr>
          <w:sz w:val="28"/>
          <w:szCs w:val="28"/>
        </w:rPr>
        <w:t xml:space="preserve"> реабилитационных отделениях медицинских организаций в рамках территориальной программы ОМС на 2014 год </w:t>
      </w:r>
      <w:r w:rsidRPr="00285F54">
        <w:rPr>
          <w:sz w:val="28"/>
          <w:szCs w:val="28"/>
        </w:rPr>
        <w:t>– 0,031</w:t>
      </w:r>
      <w:r>
        <w:rPr>
          <w:sz w:val="28"/>
          <w:szCs w:val="28"/>
        </w:rPr>
        <w:t xml:space="preserve"> койко-дня на 1 застрахованное лицо, на 2015 год – 0,033 койко-дня на 1 застрахованное лицо, на 2016 год – 0,039 койко-дня на 1 застрахованное лицо;</w:t>
      </w:r>
    </w:p>
    <w:p w:rsidR="006A566C" w:rsidRPr="00334CC4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паллиативной медицинской помощи в стационарных условиях на 2014 год – 0,079 койко-дня на 1 жителя, на 2015 год – 0,079 койко-дня на 1 жителя, на 2016 год – 0,079 койко-дня на 1 жителя.</w:t>
      </w:r>
    </w:p>
    <w:p w:rsidR="006A566C" w:rsidRPr="00024C68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24C68">
        <w:rPr>
          <w:sz w:val="28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</w:t>
      </w:r>
      <w:r>
        <w:rPr>
          <w:sz w:val="28"/>
          <w:szCs w:val="28"/>
        </w:rPr>
        <w:t xml:space="preserve">в экстренной форме </w:t>
      </w:r>
      <w:r w:rsidRPr="00024C6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внезапных острых заболеваниях, </w:t>
      </w:r>
      <w:r w:rsidRPr="00024C68">
        <w:rPr>
          <w:sz w:val="28"/>
          <w:szCs w:val="28"/>
        </w:rPr>
        <w:t xml:space="preserve">состояниях, </w:t>
      </w:r>
      <w:r>
        <w:rPr>
          <w:sz w:val="28"/>
          <w:szCs w:val="28"/>
        </w:rPr>
        <w:t xml:space="preserve">обострении хронических заболеваний, представляющих угрозу жизни пациента, входящих в территориальную программу ОМС, включается в нормативы  </w:t>
      </w:r>
      <w:r w:rsidRPr="00024C68">
        <w:rPr>
          <w:sz w:val="28"/>
          <w:szCs w:val="28"/>
        </w:rPr>
        <w:t xml:space="preserve">объема амбулаторной и стационарной медицинской помощи и обеспечивается за счет бюджетных ассигнований </w:t>
      </w:r>
      <w:r>
        <w:rPr>
          <w:sz w:val="28"/>
          <w:szCs w:val="28"/>
        </w:rPr>
        <w:t xml:space="preserve">краевого </w:t>
      </w:r>
      <w:r w:rsidRPr="00024C68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6A566C" w:rsidRPr="005C463B" w:rsidRDefault="006A566C" w:rsidP="003D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66C" w:rsidRPr="007B6046" w:rsidRDefault="006A566C" w:rsidP="003D298E">
      <w:pPr>
        <w:ind w:left="1080" w:right="847"/>
        <w:jc w:val="center"/>
        <w:rPr>
          <w:sz w:val="28"/>
          <w:szCs w:val="28"/>
        </w:rPr>
      </w:pPr>
      <w:r w:rsidRPr="007B6046">
        <w:rPr>
          <w:sz w:val="28"/>
          <w:szCs w:val="28"/>
          <w:lang w:val="en-US"/>
        </w:rPr>
        <w:t>VI</w:t>
      </w:r>
      <w:r w:rsidRPr="007B60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СТОИМОСТЬ ЕДИНИЦЫ ОБЪЕМА МЕДИЦИНСКОЙ ПОМОЩИ, </w:t>
      </w:r>
      <w:r w:rsidRPr="007B6046">
        <w:rPr>
          <w:sz w:val="28"/>
          <w:szCs w:val="28"/>
        </w:rPr>
        <w:t xml:space="preserve">НОРМАТИВЫ ФИНАНСОВЫХ ЗАТРАТ НА ЕДИНИЦУ ОБЪЕМА </w:t>
      </w:r>
      <w:r>
        <w:rPr>
          <w:sz w:val="28"/>
          <w:szCs w:val="28"/>
        </w:rPr>
        <w:t xml:space="preserve"> ПРЕДОСТАВЛЕНИЯ </w:t>
      </w:r>
      <w:r w:rsidRPr="007B6046">
        <w:rPr>
          <w:sz w:val="28"/>
          <w:szCs w:val="28"/>
        </w:rPr>
        <w:t>МЕДИЦИНСКОЙ ПОМОЩИ,  ПОДУШЕВЫЕ НОРМАТИВЫ ФИНАНСИРОВАНИЯ, ПОРЯДОК ФОРМИРОВАНИЯ И СТРУКТУРА ТАРИФОВ НА ОПЛАТУ МЕДИЦИНСКОЙ ПОМОЩИ</w:t>
      </w:r>
      <w:r>
        <w:rPr>
          <w:sz w:val="28"/>
          <w:szCs w:val="28"/>
        </w:rPr>
        <w:t xml:space="preserve">, </w:t>
      </w:r>
      <w:r w:rsidRPr="007B6046">
        <w:rPr>
          <w:sz w:val="28"/>
          <w:szCs w:val="28"/>
        </w:rPr>
        <w:t>СПОСОБЫ ОПЛАТЫ МЕДИЦИНСКОЙ ПОМОЩИ</w:t>
      </w:r>
    </w:p>
    <w:p w:rsidR="006A566C" w:rsidRDefault="006A566C" w:rsidP="003D298E">
      <w:pPr>
        <w:spacing w:line="240" w:lineRule="atLeast"/>
        <w:ind w:firstLine="709"/>
        <w:jc w:val="both"/>
        <w:rPr>
          <w:sz w:val="28"/>
          <w:szCs w:val="28"/>
        </w:rPr>
      </w:pP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Стоимость единицы объема медицинской помощи с учетом  условий ее оказания, нормативы финансовых затрат на единицу объема предоставления медицинской помощи на одно застрахованное лицо, оказываемой в соответствии с Программой, на 2014 год составляют: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вызов скорой медицинской помощи за счет средств обязательного медицинского страхования  </w:t>
      </w:r>
      <w:r w:rsidRPr="00A6561C">
        <w:rPr>
          <w:sz w:val="28"/>
          <w:szCs w:val="28"/>
        </w:rPr>
        <w:t>– 2 436,53 руб</w:t>
      </w:r>
      <w:r>
        <w:rPr>
          <w:sz w:val="28"/>
          <w:szCs w:val="28"/>
        </w:rPr>
        <w:t>.;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краевого  бюджета – 389,39  руб., за счет средств обязательного медицинского страхования -– </w:t>
      </w:r>
      <w:r w:rsidRPr="00A6561C">
        <w:rPr>
          <w:sz w:val="28"/>
          <w:szCs w:val="28"/>
        </w:rPr>
        <w:t>444,69</w:t>
      </w:r>
      <w:r>
        <w:rPr>
          <w:sz w:val="28"/>
          <w:szCs w:val="28"/>
        </w:rPr>
        <w:t xml:space="preserve"> руб.;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краевого  бюджета – 1100,57 руб.,  за счет средств обязательного медицинского страхования </w:t>
      </w:r>
      <w:r w:rsidRPr="00B33D48">
        <w:rPr>
          <w:sz w:val="28"/>
          <w:szCs w:val="28"/>
        </w:rPr>
        <w:t>–       1302,78</w:t>
      </w:r>
      <w:r>
        <w:rPr>
          <w:sz w:val="28"/>
          <w:szCs w:val="28"/>
        </w:rPr>
        <w:t xml:space="preserve"> руб.;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посещение при оказании медицинской помощи в неотложной форме в амбулаторных условиях за счет средств обязательного медицинского страхования  – </w:t>
      </w:r>
      <w:r w:rsidRPr="00B33D48">
        <w:rPr>
          <w:sz w:val="28"/>
          <w:szCs w:val="28"/>
        </w:rPr>
        <w:t>569,26 руб.;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пациенто-день лечения в условиях дневных стационаров за счет средств соответствующих бюджетов  – 507,18 руб., за счет средств обязательного медицинского страхования – </w:t>
      </w:r>
      <w:r w:rsidRPr="00B33D48">
        <w:rPr>
          <w:sz w:val="28"/>
          <w:szCs w:val="28"/>
        </w:rPr>
        <w:t>1 714,93</w:t>
      </w:r>
      <w:r>
        <w:rPr>
          <w:sz w:val="28"/>
          <w:szCs w:val="28"/>
        </w:rPr>
        <w:t xml:space="preserve"> руб.; 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</w:t>
      </w:r>
      <w:r w:rsidRPr="00B33D48">
        <w:rPr>
          <w:sz w:val="28"/>
          <w:szCs w:val="28"/>
        </w:rPr>
        <w:t>– 157 662,64</w:t>
      </w:r>
      <w:r>
        <w:rPr>
          <w:sz w:val="28"/>
          <w:szCs w:val="28"/>
        </w:rPr>
        <w:t xml:space="preserve"> руб.;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краевого бюджета – 44446,5 руб., за счет средств </w:t>
      </w:r>
      <w:r w:rsidRPr="00EE1182">
        <w:rPr>
          <w:sz w:val="28"/>
          <w:szCs w:val="28"/>
        </w:rPr>
        <w:t xml:space="preserve">обязательного медицинского страхования </w:t>
      </w:r>
      <w:r w:rsidRPr="004D0FF0">
        <w:rPr>
          <w:sz w:val="28"/>
          <w:szCs w:val="28"/>
        </w:rPr>
        <w:t>– 26 796,12 руб</w:t>
      </w:r>
      <w:r>
        <w:rPr>
          <w:sz w:val="28"/>
          <w:szCs w:val="28"/>
        </w:rPr>
        <w:t>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</w:t>
      </w:r>
      <w:r w:rsidRPr="004D0FF0">
        <w:rPr>
          <w:sz w:val="28"/>
          <w:szCs w:val="28"/>
        </w:rPr>
        <w:t>1 803,43</w:t>
      </w:r>
      <w:r>
        <w:rPr>
          <w:sz w:val="28"/>
          <w:szCs w:val="28"/>
        </w:rPr>
        <w:t xml:space="preserve"> руб.;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краевого  бюджета – 1186,58 руб.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Стоимость единицы объема медицинской помощи с учетом  условий ее оказания, нормативы финансовых затрат на единицу объема предоставления медицинской помощи на одно застрахованное лицо, оказываемой в соответствии с Программой, на 2015 и 2016 годы составляют: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вызов скорой медицинской помощи за счет средств обязательного медицинского страхования  – </w:t>
      </w:r>
      <w:r w:rsidRPr="00E76EE2">
        <w:rPr>
          <w:sz w:val="28"/>
          <w:szCs w:val="28"/>
        </w:rPr>
        <w:t>2 570,08 руб. на 2015 год, 2 751,90 руб</w:t>
      </w:r>
      <w:r>
        <w:rPr>
          <w:sz w:val="28"/>
          <w:szCs w:val="28"/>
        </w:rPr>
        <w:t>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краевого  бюджета – 389,39  руб. на 2015 год, 389,39 на 2016 год, за счет средств обязательного медицинского страхования - </w:t>
      </w:r>
      <w:r w:rsidRPr="00E76EE2">
        <w:rPr>
          <w:sz w:val="28"/>
          <w:szCs w:val="28"/>
        </w:rPr>
        <w:t>492,10 руб. на 2015 год, 505,31</w:t>
      </w:r>
      <w:r>
        <w:rPr>
          <w:sz w:val="28"/>
          <w:szCs w:val="28"/>
        </w:rPr>
        <w:t xml:space="preserve"> руб.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краевого  бюджета – 1100,57 руб. на 2015 год, 1100,57 на 2016 год, за счет средств обязательного медицинского страхования –  </w:t>
      </w:r>
      <w:r w:rsidRPr="00E76EE2">
        <w:rPr>
          <w:sz w:val="28"/>
          <w:szCs w:val="28"/>
        </w:rPr>
        <w:t>1 434,52 руб. на 2015 год, 1 515,93</w:t>
      </w:r>
      <w:r>
        <w:rPr>
          <w:sz w:val="28"/>
          <w:szCs w:val="28"/>
        </w:rPr>
        <w:t xml:space="preserve"> руб.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посещение при оказании медицинской помощи в неотложной форме в амбулаторных условиях за счет средств обязательного медицинского страхования  – </w:t>
      </w:r>
      <w:r w:rsidRPr="00E76EE2">
        <w:rPr>
          <w:sz w:val="28"/>
          <w:szCs w:val="28"/>
        </w:rPr>
        <w:t>629,92 руб. на 2015 год, 642,76</w:t>
      </w:r>
      <w:r>
        <w:rPr>
          <w:sz w:val="28"/>
          <w:szCs w:val="28"/>
        </w:rPr>
        <w:t xml:space="preserve"> руб.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пациенто-день лечения в условиях дневных стационаров за счет средств соответствующих бюджетов  – 507,18 руб. на 2015 год, 507,18 руб. на 2016 год, за счет средств обязательного медицинского страхования – </w:t>
      </w:r>
      <w:r w:rsidRPr="005F7E52">
        <w:rPr>
          <w:sz w:val="28"/>
          <w:szCs w:val="28"/>
        </w:rPr>
        <w:t>1 835,35 руб. на 2015 год, 1 881,10 руб. на 2016 год;</w:t>
      </w:r>
      <w:r>
        <w:rPr>
          <w:sz w:val="28"/>
          <w:szCs w:val="28"/>
        </w:rPr>
        <w:t xml:space="preserve"> 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– </w:t>
      </w:r>
      <w:r w:rsidRPr="005F7E52">
        <w:rPr>
          <w:sz w:val="28"/>
          <w:szCs w:val="28"/>
        </w:rPr>
        <w:t>167 217,96 руб. на 2015 год, 175 578,43</w:t>
      </w:r>
      <w:r>
        <w:rPr>
          <w:sz w:val="28"/>
          <w:szCs w:val="28"/>
        </w:rPr>
        <w:t xml:space="preserve"> руб.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 – 42172,9 руб. на 2015 год, 42172,9 руб. на 2016 год, за счет средств обязательного медицинского страхования – </w:t>
      </w:r>
      <w:r w:rsidRPr="006C6AB5">
        <w:rPr>
          <w:sz w:val="28"/>
          <w:szCs w:val="28"/>
        </w:rPr>
        <w:t>31 478,05 руб. на 2015 год, 33 465,93 руб.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</w:t>
      </w:r>
      <w:r w:rsidRPr="006C6AB5">
        <w:rPr>
          <w:sz w:val="28"/>
          <w:szCs w:val="28"/>
        </w:rPr>
        <w:t>– 2 145,63 руб. на 2015 год, 2 262,86 руб. на 2016 год;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краевого  бюджета – 1127,08 руб. на 2015 год, 1127,08 руб. на 2016 год.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Подушевые нормативы финансирования Программы за счет средств краевого бюджета рассчитаны исходя из расходов, </w:t>
      </w:r>
      <w:r w:rsidRPr="001660BB">
        <w:rPr>
          <w:sz w:val="28"/>
          <w:szCs w:val="28"/>
        </w:rPr>
        <w:t>утвержденных Законом Приморского края от 19</w:t>
      </w:r>
      <w:r>
        <w:rPr>
          <w:sz w:val="28"/>
          <w:szCs w:val="28"/>
        </w:rPr>
        <w:t xml:space="preserve"> декабря </w:t>
      </w:r>
      <w:r w:rsidRPr="001660BB">
        <w:rPr>
          <w:sz w:val="28"/>
          <w:szCs w:val="28"/>
        </w:rPr>
        <w:t>2013 года № 334-КЗ «О краевом бюджете  на 2014 год и плановый период 2015 и 2016 годов»,  численности населения Приморского края по прогнозу Росстата</w:t>
      </w:r>
      <w:r>
        <w:rPr>
          <w:sz w:val="28"/>
          <w:szCs w:val="28"/>
        </w:rPr>
        <w:t xml:space="preserve"> на 1 января 2014 года в количестве 1941557 человек, на 1 января 2015 года – 1934217 человек, на 1 января 2016 года  - 1926129 человек и районного коэффициента в размере 1,5285.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 w:rsidRPr="00F003CD">
        <w:rPr>
          <w:sz w:val="28"/>
          <w:szCs w:val="28"/>
        </w:rPr>
        <w:t>Подушевые нормативы финансирования Программы за счет средств ОМС рассчитаны исходя из средств,</w:t>
      </w:r>
      <w:r>
        <w:rPr>
          <w:sz w:val="28"/>
          <w:szCs w:val="28"/>
        </w:rPr>
        <w:t xml:space="preserve"> утвержденных </w:t>
      </w:r>
      <w:r w:rsidRPr="005660FB">
        <w:rPr>
          <w:sz w:val="28"/>
          <w:szCs w:val="28"/>
        </w:rPr>
        <w:t xml:space="preserve">Законом Приморского края </w:t>
      </w:r>
      <w:r>
        <w:rPr>
          <w:sz w:val="28"/>
          <w:szCs w:val="28"/>
        </w:rPr>
        <w:t xml:space="preserve">                              </w:t>
      </w:r>
      <w:r w:rsidRPr="005660FB">
        <w:rPr>
          <w:sz w:val="28"/>
          <w:szCs w:val="28"/>
        </w:rPr>
        <w:t>от 19</w:t>
      </w:r>
      <w:r>
        <w:rPr>
          <w:sz w:val="28"/>
          <w:szCs w:val="28"/>
        </w:rPr>
        <w:t xml:space="preserve"> декабря </w:t>
      </w:r>
      <w:r w:rsidRPr="005660FB">
        <w:rPr>
          <w:sz w:val="28"/>
          <w:szCs w:val="28"/>
        </w:rPr>
        <w:t xml:space="preserve">2013 года № 328-КЗ «О  </w:t>
      </w:r>
      <w:r w:rsidRPr="004A5EB8">
        <w:rPr>
          <w:sz w:val="28"/>
          <w:szCs w:val="28"/>
        </w:rPr>
        <w:t>бюджете территориального фонда обязательного медицинского страхования Приморского края</w:t>
      </w:r>
      <w:r w:rsidRPr="005660FB">
        <w:rPr>
          <w:sz w:val="28"/>
          <w:szCs w:val="28"/>
        </w:rPr>
        <w:t xml:space="preserve">  на 2014 год и плановый период 2015 и 2016 годов»,</w:t>
      </w:r>
      <w:r w:rsidRPr="005660FB">
        <w:rPr>
          <w:color w:val="FF6600"/>
          <w:sz w:val="28"/>
          <w:szCs w:val="28"/>
        </w:rPr>
        <w:t xml:space="preserve"> </w:t>
      </w:r>
      <w:r w:rsidRPr="005660FB">
        <w:rPr>
          <w:sz w:val="28"/>
          <w:szCs w:val="28"/>
        </w:rPr>
        <w:t xml:space="preserve">численности застрахованного населения на </w:t>
      </w:r>
      <w:r>
        <w:rPr>
          <w:sz w:val="28"/>
          <w:szCs w:val="28"/>
        </w:rPr>
        <w:t xml:space="preserve">                    </w:t>
      </w:r>
      <w:r w:rsidRPr="005660FB">
        <w:rPr>
          <w:sz w:val="28"/>
          <w:szCs w:val="28"/>
        </w:rPr>
        <w:t>1 апреля 2013 года и</w:t>
      </w:r>
      <w:r>
        <w:rPr>
          <w:sz w:val="28"/>
          <w:szCs w:val="28"/>
        </w:rPr>
        <w:t xml:space="preserve"> коэффициента дифференциации в размере 1,3939.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Подушевые нормативы финансирования Программы составляют: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– 12363,965 руб., в 2015 году – 17423,84 руб.,  в 2016 году – 18209,96 руб.,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2014 году – 9705,03 руб., в 2015 году – 11822,36 руб., в 2016 году </w:t>
      </w:r>
      <w:r w:rsidRPr="003D5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12354,41 руб.  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Порядок формирования и структура тарифа на оплату медицинской помощи, оказываемой в рамках Программы, установлены в соответствии с Федеральным законом от 29 ноября 2010 года № 326-ФЗ «Об обязательном медицинском страховании в Российской Федерации».</w:t>
      </w:r>
    </w:p>
    <w:p w:rsidR="006A566C" w:rsidRDefault="006A566C" w:rsidP="00B20C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тарифа на оплату медицинской помощи, оказываемой в рамках территориальной  программы ОМС, 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</w:t>
      </w:r>
      <w:r w:rsidRPr="003D1B6C">
        <w:rPr>
          <w:sz w:val="28"/>
          <w:szCs w:val="28"/>
        </w:rPr>
        <w:t>основных средств (оборудование, производственный и хозяйственный инвентарь) с</w:t>
      </w:r>
      <w:r>
        <w:rPr>
          <w:sz w:val="28"/>
          <w:szCs w:val="28"/>
        </w:rPr>
        <w:t>тоимостью до 100 тысяч рублей за единицу.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оплату медицинской помощи по обязательному медицинскому страхованию устанавливаются тарифным соглашением между департаментом, ГУ ТФОМС ПК, представителями страховых медицинских организаций, профессиональных </w:t>
      </w:r>
      <w:r w:rsidRPr="001578F3">
        <w:rPr>
          <w:sz w:val="28"/>
          <w:szCs w:val="28"/>
        </w:rPr>
        <w:t>союзов медицинских работников, включенными в состав Комиссии.</w:t>
      </w:r>
    </w:p>
    <w:p w:rsidR="006A566C" w:rsidRPr="00FA792D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оплату медицинской помощи  формируются в соответствии с принятыми в Программе способами оплаты медицинской помощи </w:t>
      </w:r>
      <w:r w:rsidRPr="00FA792D">
        <w:rPr>
          <w:sz w:val="28"/>
          <w:szCs w:val="28"/>
        </w:rPr>
        <w:t>и в части расходов на заработную плату включают финансовое обеспечение денежных выплат стимулирующего характера, включая денежные выплаты:</w:t>
      </w:r>
    </w:p>
    <w:p w:rsidR="006A566C" w:rsidRPr="00FA792D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A566C" w:rsidRPr="00FA792D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6A566C" w:rsidRPr="00FA792D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6A566C" w:rsidRDefault="006A566C" w:rsidP="003D2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реализации </w:t>
      </w:r>
      <w:r w:rsidRPr="00C452A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применяются следующие способы оплаты медицинской помощи, оказываемой застрахованным лицам по ОМС </w:t>
      </w:r>
    </w:p>
    <w:p w:rsidR="006A566C" w:rsidRDefault="006A566C" w:rsidP="003D29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 при оплате медицинской помощи, оказанной в амбулаторных условиях:</w:t>
      </w:r>
    </w:p>
    <w:p w:rsidR="006A566C" w:rsidRPr="00334CC4" w:rsidRDefault="006A566C" w:rsidP="003D298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подушевому нормативу финансирования с учетом модели конечного результата, за случай поликлинического обслуживания, за медицинскую услугу; </w:t>
      </w:r>
    </w:p>
    <w:p w:rsidR="006A566C" w:rsidRPr="00334CC4" w:rsidRDefault="006A566C" w:rsidP="003D298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за единицу объема медицинской помощи – за медицинскую услугу, за посещение, за обращение (законченный случай) (при оплате медицинской помощи, оказанной застрахованным в Приморском крае лицам за его пределами, а также в отдельных медицинских организациях, не имеющих прикрепившихся лиц);</w:t>
      </w:r>
    </w:p>
    <w:p w:rsidR="006A566C" w:rsidRDefault="006A566C" w:rsidP="003D298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при оплате медицинской помощи, оказанной в стационарных условиях:</w:t>
      </w:r>
    </w:p>
    <w:p w:rsidR="006A566C" w:rsidRDefault="006A566C" w:rsidP="003D298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законченный случай лечения заболевания, включенного в соответствующую группу заболеваний (в том числе клинико-статистические группы заболеваний); </w:t>
      </w:r>
    </w:p>
    <w:p w:rsidR="006A566C" w:rsidRDefault="006A566C" w:rsidP="003D298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 при оплате медицинской помощи, оказанной в условиях дневного стационара:</w:t>
      </w:r>
    </w:p>
    <w:p w:rsidR="006A566C" w:rsidRDefault="006A566C" w:rsidP="003D298E">
      <w:pPr>
        <w:spacing w:line="360" w:lineRule="auto"/>
        <w:ind w:firstLine="601"/>
        <w:jc w:val="both"/>
        <w:rPr>
          <w:sz w:val="28"/>
          <w:szCs w:val="28"/>
        </w:rPr>
      </w:pPr>
      <w:r w:rsidRPr="00FA792D">
        <w:rPr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  <w:r>
        <w:rPr>
          <w:sz w:val="28"/>
          <w:szCs w:val="28"/>
        </w:rPr>
        <w:t xml:space="preserve"> </w:t>
      </w:r>
    </w:p>
    <w:p w:rsidR="006A566C" w:rsidRDefault="006A566C" w:rsidP="003D298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6A566C" w:rsidRPr="00ED7048" w:rsidRDefault="006A566C" w:rsidP="003D298E">
      <w:pPr>
        <w:spacing w:line="360" w:lineRule="auto"/>
        <w:ind w:firstLine="601"/>
        <w:jc w:val="both"/>
      </w:pPr>
      <w:r>
        <w:rPr>
          <w:sz w:val="28"/>
          <w:szCs w:val="28"/>
        </w:rPr>
        <w:t xml:space="preserve">по подушевому нормативу финансирования </w:t>
      </w:r>
      <w:r w:rsidRPr="00FA792D">
        <w:rPr>
          <w:sz w:val="28"/>
          <w:szCs w:val="28"/>
        </w:rPr>
        <w:t>в сочетании с оплатой</w:t>
      </w:r>
      <w:r>
        <w:rPr>
          <w:sz w:val="28"/>
          <w:szCs w:val="28"/>
        </w:rPr>
        <w:t xml:space="preserve"> за вызов скорой медицинской помощи (для взаиморасчетов).</w:t>
      </w:r>
    </w:p>
    <w:p w:rsidR="006A566C" w:rsidRPr="0004270F" w:rsidRDefault="006A566C" w:rsidP="003D298E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6A566C" w:rsidRDefault="006A566C" w:rsidP="00FA081F">
      <w:pPr>
        <w:pStyle w:val="ConsPlusNormal"/>
        <w:jc w:val="center"/>
      </w:pPr>
    </w:p>
    <w:p w:rsidR="006A566C" w:rsidRDefault="006A566C" w:rsidP="00A116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ЦЕЛЕВЫЕ ЗНАЧЕНИЯ КРИТЕРИЕВ ДОСТУПНОСТИ И КАЧЕСТВА МЕДИЦИНСКОЙ ПОМОЩИ</w:t>
      </w:r>
    </w:p>
    <w:p w:rsidR="006A566C" w:rsidRDefault="006A566C" w:rsidP="00A116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544"/>
        <w:gridCol w:w="2551"/>
        <w:gridCol w:w="1276"/>
        <w:gridCol w:w="1417"/>
        <w:gridCol w:w="1275"/>
      </w:tblGrid>
      <w:tr w:rsidR="006A566C" w:rsidTr="0004270F">
        <w:tc>
          <w:tcPr>
            <w:tcW w:w="707" w:type="dxa"/>
            <w:vMerge w:val="restart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№</w:t>
            </w:r>
            <w:r w:rsidRPr="005B07AB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544" w:type="dxa"/>
            <w:vMerge w:val="restart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2551" w:type="dxa"/>
            <w:vMerge w:val="restart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68" w:type="dxa"/>
            <w:gridSpan w:val="3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Значения индикатора</w:t>
            </w:r>
          </w:p>
        </w:tc>
      </w:tr>
      <w:tr w:rsidR="006A566C" w:rsidTr="0004270F">
        <w:tc>
          <w:tcPr>
            <w:tcW w:w="707" w:type="dxa"/>
            <w:vMerge/>
            <w:vAlign w:val="center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2014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2015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04270F" w:rsidRPr="0004270F" w:rsidRDefault="0004270F">
      <w:pPr>
        <w:rPr>
          <w:sz w:val="2"/>
        </w:rPr>
      </w:pPr>
    </w:p>
    <w:tbl>
      <w:tblPr>
        <w:tblW w:w="10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544"/>
        <w:gridCol w:w="2551"/>
        <w:gridCol w:w="1276"/>
        <w:gridCol w:w="1417"/>
        <w:gridCol w:w="1275"/>
      </w:tblGrid>
      <w:tr w:rsidR="006A566C" w:rsidTr="0004270F">
        <w:trPr>
          <w:tblHeader/>
        </w:trPr>
        <w:tc>
          <w:tcPr>
            <w:tcW w:w="70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tabs>
                <w:tab w:val="left" w:pos="-250"/>
              </w:tabs>
              <w:spacing w:after="0" w:line="240" w:lineRule="auto"/>
              <w:ind w:left="176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 w:rsidP="005B07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AB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 городского, сельского населения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процентов от числа опрошенных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38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firstLine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Смертность населения, в том числе городского, сельского населения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число умерших на 1000 человек населения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13,</w:t>
            </w:r>
            <w:r w:rsidRPr="005B07AB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13,</w:t>
            </w:r>
            <w:r w:rsidRPr="005B07A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</w:t>
            </w:r>
            <w:r w:rsidRPr="005B07AB">
              <w:rPr>
                <w:sz w:val="28"/>
                <w:szCs w:val="28"/>
                <w:lang w:val="en-US" w:eastAsia="en-US"/>
              </w:rPr>
              <w:t>2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Смертность населения от болезней системы кровообращения, в том числе городского, сельского населения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680</w:t>
            </w:r>
            <w:r w:rsidRPr="005B07AB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645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621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Смертность населения от новообразований, в том числе от злокачественных, в том числе городского, сельского населения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число умерших от новообразований, в том числе от злокачественных, на 100 тыс. человек населения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20</w:t>
            </w:r>
            <w:r w:rsidRPr="005B07AB">
              <w:rPr>
                <w:sz w:val="28"/>
                <w:szCs w:val="28"/>
                <w:lang w:val="en-US" w:eastAsia="en-US"/>
              </w:rPr>
              <w:t>6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199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196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Смертность населения от туберкулеза, в том числе городского, сельского населения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случаев на 100 тыс. человек населения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</w:t>
            </w:r>
            <w:r w:rsidRPr="005B07AB">
              <w:rPr>
                <w:sz w:val="28"/>
                <w:szCs w:val="28"/>
                <w:lang w:val="en-US" w:eastAsia="en-US"/>
              </w:rPr>
              <w:t>6</w:t>
            </w:r>
            <w:r w:rsidRPr="005B07AB">
              <w:rPr>
                <w:sz w:val="28"/>
                <w:szCs w:val="28"/>
                <w:lang w:eastAsia="en-US"/>
              </w:rPr>
              <w:t>,</w:t>
            </w:r>
            <w:r w:rsidRPr="005B07A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</w:t>
            </w:r>
            <w:r w:rsidRPr="005B07AB">
              <w:rPr>
                <w:sz w:val="28"/>
                <w:szCs w:val="28"/>
                <w:lang w:val="en-US" w:eastAsia="en-US"/>
              </w:rPr>
              <w:t>5</w:t>
            </w:r>
            <w:r w:rsidRPr="005B07AB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2</w:t>
            </w:r>
            <w:r w:rsidRPr="005B07AB">
              <w:rPr>
                <w:sz w:val="28"/>
                <w:szCs w:val="28"/>
                <w:lang w:val="en-US" w:eastAsia="en-US"/>
              </w:rPr>
              <w:t>3</w:t>
            </w:r>
            <w:r w:rsidRPr="005B07AB"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 xml:space="preserve">Смертность населения в трудоспособном возрасте 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65,0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165,0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163,0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162,0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 xml:space="preserve">Материнская смертность 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100 тыс. родившихся живыми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4,</w:t>
            </w:r>
            <w:r w:rsidRPr="005B07AB"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 xml:space="preserve">Младенческая смертность 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1000 родившихся живыми, в том числе в городской и сельской местности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9,</w:t>
            </w:r>
            <w:r w:rsidRPr="005B07A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8,7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Смертность детей в возрасте 0-4 лет </w:t>
            </w:r>
          </w:p>
        </w:tc>
        <w:tc>
          <w:tcPr>
            <w:tcW w:w="2551" w:type="dxa"/>
          </w:tcPr>
          <w:p w:rsidR="006A566C" w:rsidRPr="005B07AB" w:rsidRDefault="006A566C" w:rsidP="0060715F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100</w:t>
            </w:r>
            <w:r>
              <w:rPr>
                <w:sz w:val="28"/>
                <w:szCs w:val="28"/>
                <w:lang w:eastAsia="en-US"/>
              </w:rPr>
              <w:t xml:space="preserve"> тыс. человек населения соответствующего возраста</w:t>
            </w:r>
            <w:r w:rsidRPr="005B07A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 xml:space="preserve">Смертность детей в возрасте 0 - 17 лет 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100 тыс. человек населения соответствующего возраста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10</w:t>
            </w:r>
            <w:r w:rsidRPr="005B07AB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9,0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944D7E" w:rsidRDefault="006A566C">
            <w:pPr>
              <w:rPr>
                <w:sz w:val="28"/>
                <w:szCs w:val="28"/>
                <w:lang w:eastAsia="en-US"/>
              </w:rPr>
            </w:pPr>
            <w:r w:rsidRPr="00944D7E">
              <w:rPr>
                <w:sz w:val="28"/>
                <w:szCs w:val="28"/>
                <w:lang w:eastAsia="en-US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551" w:type="dxa"/>
          </w:tcPr>
          <w:p w:rsidR="006A566C" w:rsidRPr="00944D7E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4D7E">
              <w:rPr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48,8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51,4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41,4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41,3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61</w:t>
            </w:r>
            <w:r w:rsidRPr="005B07AB"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61,6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на основе оценки выполнения функции врачебной должности, показателей рационального и целевого использования коечного фонда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6A566C" w:rsidTr="0004270F">
        <w:tc>
          <w:tcPr>
            <w:tcW w:w="707" w:type="dxa"/>
          </w:tcPr>
          <w:p w:rsidR="006A566C" w:rsidRPr="004E4169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4E4169" w:rsidRDefault="006A566C">
            <w:pPr>
              <w:rPr>
                <w:sz w:val="28"/>
                <w:szCs w:val="28"/>
                <w:lang w:eastAsia="en-US"/>
              </w:rPr>
            </w:pPr>
            <w:r w:rsidRPr="004E4169">
              <w:rPr>
                <w:sz w:val="28"/>
                <w:szCs w:val="28"/>
                <w:lang w:eastAsia="en-US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551" w:type="dxa"/>
          </w:tcPr>
          <w:p w:rsidR="006A566C" w:rsidRPr="005A4750" w:rsidRDefault="006A566C" w:rsidP="00B6790F">
            <w:pPr>
              <w:jc w:val="center"/>
              <w:rPr>
                <w:sz w:val="28"/>
                <w:szCs w:val="28"/>
                <w:highlight w:val="red"/>
                <w:lang w:eastAsia="en-US"/>
              </w:rPr>
            </w:pPr>
            <w:r w:rsidRPr="004E416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417" w:type="dxa"/>
          </w:tcPr>
          <w:p w:rsidR="006A566C" w:rsidRPr="004E4169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275" w:type="dxa"/>
          </w:tcPr>
          <w:p w:rsidR="006A566C" w:rsidRPr="004E4169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8,1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551" w:type="dxa"/>
          </w:tcPr>
          <w:p w:rsidR="006A566C" w:rsidRPr="005B07AB" w:rsidRDefault="006A566C" w:rsidP="00B67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17" w:type="dxa"/>
          </w:tcPr>
          <w:p w:rsidR="006A566C" w:rsidRPr="004E4169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4E4169">
              <w:rPr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275" w:type="dxa"/>
          </w:tcPr>
          <w:p w:rsidR="006A566C" w:rsidRPr="004E4169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4E4169"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Доля расходов на оказание паллиативной медицинской помощи в общих расходах на территориальную программу</w:t>
            </w:r>
          </w:p>
        </w:tc>
        <w:tc>
          <w:tcPr>
            <w:tcW w:w="2551" w:type="dxa"/>
          </w:tcPr>
          <w:p w:rsidR="006A566C" w:rsidRPr="005B07AB" w:rsidRDefault="006A566C" w:rsidP="00B679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0,78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</w:t>
            </w:r>
          </w:p>
        </w:tc>
        <w:tc>
          <w:tcPr>
            <w:tcW w:w="2551" w:type="dxa"/>
          </w:tcPr>
          <w:p w:rsidR="006A566C" w:rsidRPr="005B07AB" w:rsidRDefault="006A566C" w:rsidP="005A47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43,0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Полнота охвата профилактическими медицинскими осмотрами детей, в том числе проживающих в городской и сельской местности</w:t>
            </w:r>
          </w:p>
        </w:tc>
        <w:tc>
          <w:tcPr>
            <w:tcW w:w="2551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2551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220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221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B07AB">
              <w:rPr>
                <w:sz w:val="28"/>
                <w:szCs w:val="28"/>
                <w:lang w:val="en-US" w:eastAsia="en-US"/>
              </w:rPr>
              <w:t>220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7921C6" w:rsidRDefault="006A566C">
            <w:pPr>
              <w:rPr>
                <w:sz w:val="28"/>
                <w:szCs w:val="28"/>
                <w:lang w:eastAsia="en-US"/>
              </w:rPr>
            </w:pPr>
            <w:r w:rsidRPr="007921C6">
              <w:rPr>
                <w:sz w:val="28"/>
                <w:szCs w:val="28"/>
                <w:lang w:eastAsia="en-US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2551" w:type="dxa"/>
          </w:tcPr>
          <w:p w:rsidR="006A566C" w:rsidRPr="007921C6" w:rsidRDefault="006A566C" w:rsidP="00B6790F">
            <w:pPr>
              <w:jc w:val="center"/>
              <w:rPr>
                <w:sz w:val="28"/>
                <w:szCs w:val="28"/>
                <w:lang w:eastAsia="en-US"/>
              </w:rPr>
            </w:pPr>
            <w:r w:rsidRPr="007921C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85,7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88,1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 w:rsidP="0004270F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 xml:space="preserve">Удельный вес числа лиц в возрасте 18 лет и старше, прошедших </w:t>
            </w:r>
            <w:r w:rsidR="0004270F">
              <w:rPr>
                <w:sz w:val="28"/>
                <w:szCs w:val="28"/>
                <w:lang w:eastAsia="en-US"/>
              </w:rPr>
              <w:t>д</w:t>
            </w:r>
            <w:r w:rsidRPr="005B07AB">
              <w:rPr>
                <w:sz w:val="28"/>
                <w:szCs w:val="28"/>
                <w:lang w:eastAsia="en-US"/>
              </w:rPr>
              <w:t>испансериза</w:t>
            </w:r>
            <w:r w:rsidR="0004270F">
              <w:rPr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  <w:r w:rsidRPr="005B07AB">
              <w:rPr>
                <w:sz w:val="28"/>
                <w:szCs w:val="28"/>
                <w:lang w:eastAsia="en-US"/>
              </w:rPr>
              <w:t>цию, в общем количестве лиц в возрасте 18 лет и старше, подлежащих диспансеризации, в том числе проживающих в городской и сельской местности</w:t>
            </w:r>
          </w:p>
        </w:tc>
        <w:tc>
          <w:tcPr>
            <w:tcW w:w="2551" w:type="dxa"/>
          </w:tcPr>
          <w:p w:rsidR="006A566C" w:rsidRDefault="006A566C" w:rsidP="00DD7926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B6790F" w:rsidRDefault="006A566C">
            <w:pPr>
              <w:rPr>
                <w:sz w:val="28"/>
                <w:szCs w:val="28"/>
                <w:highlight w:val="red"/>
                <w:lang w:eastAsia="en-US"/>
              </w:rPr>
            </w:pPr>
            <w:r w:rsidRPr="007921C6">
              <w:rPr>
                <w:sz w:val="28"/>
                <w:szCs w:val="28"/>
                <w:lang w:eastAsia="en-US"/>
              </w:rPr>
              <w:t>Удельный вес числа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1" w:type="dxa"/>
          </w:tcPr>
          <w:p w:rsidR="006A566C" w:rsidRPr="00B6790F" w:rsidRDefault="006A566C" w:rsidP="007921C6">
            <w:pPr>
              <w:jc w:val="center"/>
              <w:rPr>
                <w:highlight w:val="red"/>
              </w:rPr>
            </w:pPr>
            <w:r w:rsidRPr="007921C6"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Удельный вес числа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551" w:type="dxa"/>
          </w:tcPr>
          <w:p w:rsidR="006A566C" w:rsidRDefault="006A566C" w:rsidP="005A4750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A566C" w:rsidRPr="005B07AB" w:rsidRDefault="006A566C" w:rsidP="00D74E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Удельный вес числа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551" w:type="dxa"/>
          </w:tcPr>
          <w:p w:rsidR="006A566C" w:rsidRDefault="006A566C" w:rsidP="00BA0103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</w:t>
            </w:r>
          </w:p>
        </w:tc>
        <w:tc>
          <w:tcPr>
            <w:tcW w:w="2551" w:type="dxa"/>
          </w:tcPr>
          <w:p w:rsidR="006A566C" w:rsidRDefault="006A566C"/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B6790F" w:rsidRDefault="006A566C">
            <w:pPr>
              <w:rPr>
                <w:sz w:val="28"/>
                <w:szCs w:val="28"/>
                <w:highlight w:val="red"/>
                <w:lang w:eastAsia="en-US"/>
              </w:rPr>
            </w:pPr>
            <w:r w:rsidRPr="00B6790F">
              <w:rPr>
                <w:sz w:val="28"/>
                <w:szCs w:val="28"/>
                <w:lang w:eastAsia="en-US"/>
              </w:rPr>
              <w:t>Удельный вес числа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551" w:type="dxa"/>
          </w:tcPr>
          <w:p w:rsidR="006A566C" w:rsidRPr="00B6790F" w:rsidRDefault="006A566C" w:rsidP="00B6790F">
            <w:pPr>
              <w:jc w:val="center"/>
              <w:rPr>
                <w:highlight w:val="red"/>
              </w:rPr>
            </w:pPr>
            <w:r w:rsidRPr="00B6790F">
              <w:t>%</w:t>
            </w:r>
          </w:p>
        </w:tc>
        <w:tc>
          <w:tcPr>
            <w:tcW w:w="1276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</w:tr>
      <w:tr w:rsidR="006A566C" w:rsidTr="0004270F">
        <w:tc>
          <w:tcPr>
            <w:tcW w:w="707" w:type="dxa"/>
          </w:tcPr>
          <w:p w:rsidR="006A566C" w:rsidRPr="005B07AB" w:rsidRDefault="006A566C" w:rsidP="005B07A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566C" w:rsidRPr="005B07AB" w:rsidRDefault="006A566C">
            <w:pPr>
              <w:rPr>
                <w:sz w:val="28"/>
                <w:szCs w:val="28"/>
                <w:lang w:eastAsia="en-US"/>
              </w:rPr>
            </w:pPr>
            <w:r w:rsidRPr="005B07AB">
              <w:rPr>
                <w:sz w:val="28"/>
                <w:szCs w:val="28"/>
                <w:lang w:eastAsia="en-US"/>
              </w:rPr>
              <w:t>Удельный вес числа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551" w:type="dxa"/>
          </w:tcPr>
          <w:p w:rsidR="006A566C" w:rsidRPr="004354D0" w:rsidRDefault="006A566C" w:rsidP="00B6790F">
            <w:pPr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 w:rsidRPr="00B6790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</w:tcPr>
          <w:p w:rsidR="006A566C" w:rsidRPr="004354D0" w:rsidRDefault="006A566C" w:rsidP="005B07AB">
            <w:pPr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 w:rsidRPr="00D74EC7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417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5" w:type="dxa"/>
          </w:tcPr>
          <w:p w:rsidR="006A566C" w:rsidRPr="005B07AB" w:rsidRDefault="006A566C" w:rsidP="005B07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</w:tbl>
    <w:p w:rsidR="006A566C" w:rsidRDefault="006A566C" w:rsidP="00B32762">
      <w:pPr>
        <w:pStyle w:val="ConsPlusNormal"/>
        <w:ind w:firstLine="540"/>
        <w:jc w:val="both"/>
      </w:pPr>
    </w:p>
    <w:sectPr w:rsidR="006A566C" w:rsidSect="0004270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566" w:bottom="899" w:left="113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6C" w:rsidRDefault="006A566C">
      <w:r>
        <w:separator/>
      </w:r>
    </w:p>
  </w:endnote>
  <w:endnote w:type="continuationSeparator" w:id="0">
    <w:p w:rsidR="006A566C" w:rsidRDefault="006A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6C" w:rsidRDefault="006A566C" w:rsidP="00862C0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66C" w:rsidRDefault="006A566C" w:rsidP="00671CC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6C" w:rsidRDefault="006A566C" w:rsidP="00862C00">
    <w:pPr>
      <w:pStyle w:val="a8"/>
      <w:framePr w:wrap="around" w:vAnchor="text" w:hAnchor="margin" w:xAlign="right" w:y="1"/>
      <w:rPr>
        <w:rStyle w:val="aa"/>
      </w:rPr>
    </w:pPr>
  </w:p>
  <w:p w:rsidR="006A566C" w:rsidRDefault="006A566C" w:rsidP="00671CC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Default="00AA00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6C" w:rsidRDefault="006A566C">
      <w:r>
        <w:separator/>
      </w:r>
    </w:p>
  </w:footnote>
  <w:footnote w:type="continuationSeparator" w:id="0">
    <w:p w:rsidR="006A566C" w:rsidRDefault="006A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6C" w:rsidRDefault="006A566C" w:rsidP="00862C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66C" w:rsidRDefault="006A566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6C" w:rsidRDefault="006A566C" w:rsidP="00862C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270F">
      <w:rPr>
        <w:rStyle w:val="aa"/>
        <w:noProof/>
      </w:rPr>
      <w:t>31</w:t>
    </w:r>
    <w:r>
      <w:rPr>
        <w:rStyle w:val="aa"/>
      </w:rPr>
      <w:fldChar w:fldCharType="end"/>
    </w:r>
  </w:p>
  <w:p w:rsidR="006A566C" w:rsidRDefault="006A566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Default="00AA00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4A1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C6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183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48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44F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9A9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6D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1E3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2E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120980"/>
    <w:multiLevelType w:val="hybridMultilevel"/>
    <w:tmpl w:val="4BB4A6AA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23D"/>
    <w:rsid w:val="00010C97"/>
    <w:rsid w:val="000149D2"/>
    <w:rsid w:val="00024C68"/>
    <w:rsid w:val="0004270F"/>
    <w:rsid w:val="00050548"/>
    <w:rsid w:val="000554B6"/>
    <w:rsid w:val="00065C5E"/>
    <w:rsid w:val="00084657"/>
    <w:rsid w:val="0009272B"/>
    <w:rsid w:val="00096DC6"/>
    <w:rsid w:val="0009777A"/>
    <w:rsid w:val="000A4184"/>
    <w:rsid w:val="000F0370"/>
    <w:rsid w:val="000F2BF2"/>
    <w:rsid w:val="000F3C44"/>
    <w:rsid w:val="000F6D39"/>
    <w:rsid w:val="001030D2"/>
    <w:rsid w:val="0010677D"/>
    <w:rsid w:val="00111641"/>
    <w:rsid w:val="00116304"/>
    <w:rsid w:val="00124141"/>
    <w:rsid w:val="00124A82"/>
    <w:rsid w:val="001251A1"/>
    <w:rsid w:val="001334A3"/>
    <w:rsid w:val="00133659"/>
    <w:rsid w:val="001453D8"/>
    <w:rsid w:val="001578F3"/>
    <w:rsid w:val="001642C3"/>
    <w:rsid w:val="001660BB"/>
    <w:rsid w:val="00192823"/>
    <w:rsid w:val="00193450"/>
    <w:rsid w:val="00195158"/>
    <w:rsid w:val="001B548F"/>
    <w:rsid w:val="001B67DD"/>
    <w:rsid w:val="001D0A9F"/>
    <w:rsid w:val="001D4FC7"/>
    <w:rsid w:val="0020791D"/>
    <w:rsid w:val="00214B52"/>
    <w:rsid w:val="00214B8D"/>
    <w:rsid w:val="00215540"/>
    <w:rsid w:val="00216E19"/>
    <w:rsid w:val="00221197"/>
    <w:rsid w:val="002323EB"/>
    <w:rsid w:val="00241BB5"/>
    <w:rsid w:val="0025475B"/>
    <w:rsid w:val="002633F2"/>
    <w:rsid w:val="002676BD"/>
    <w:rsid w:val="002738FA"/>
    <w:rsid w:val="002773B1"/>
    <w:rsid w:val="00281BF3"/>
    <w:rsid w:val="00285F54"/>
    <w:rsid w:val="002926BD"/>
    <w:rsid w:val="00293568"/>
    <w:rsid w:val="002A7CC5"/>
    <w:rsid w:val="002B1639"/>
    <w:rsid w:val="002B6152"/>
    <w:rsid w:val="002D124D"/>
    <w:rsid w:val="002D16C0"/>
    <w:rsid w:val="002E22CA"/>
    <w:rsid w:val="002F2116"/>
    <w:rsid w:val="002F2C5D"/>
    <w:rsid w:val="003008CC"/>
    <w:rsid w:val="003051F8"/>
    <w:rsid w:val="00306BD3"/>
    <w:rsid w:val="0031105B"/>
    <w:rsid w:val="00312904"/>
    <w:rsid w:val="00314023"/>
    <w:rsid w:val="003146C5"/>
    <w:rsid w:val="00326312"/>
    <w:rsid w:val="00331108"/>
    <w:rsid w:val="00334CC4"/>
    <w:rsid w:val="00342B78"/>
    <w:rsid w:val="00344E0D"/>
    <w:rsid w:val="00346F33"/>
    <w:rsid w:val="00352A70"/>
    <w:rsid w:val="0035396E"/>
    <w:rsid w:val="00370666"/>
    <w:rsid w:val="0037309D"/>
    <w:rsid w:val="00381542"/>
    <w:rsid w:val="003834A8"/>
    <w:rsid w:val="00385D58"/>
    <w:rsid w:val="003A4EAC"/>
    <w:rsid w:val="003A7B4D"/>
    <w:rsid w:val="003C0AF9"/>
    <w:rsid w:val="003C4002"/>
    <w:rsid w:val="003C4294"/>
    <w:rsid w:val="003C4B60"/>
    <w:rsid w:val="003C53C8"/>
    <w:rsid w:val="003C6EBD"/>
    <w:rsid w:val="003C6F33"/>
    <w:rsid w:val="003C7FEA"/>
    <w:rsid w:val="003D1B6C"/>
    <w:rsid w:val="003D298E"/>
    <w:rsid w:val="003D54BD"/>
    <w:rsid w:val="003E49D5"/>
    <w:rsid w:val="003E5133"/>
    <w:rsid w:val="003F13F9"/>
    <w:rsid w:val="003F4F7C"/>
    <w:rsid w:val="003F6FA3"/>
    <w:rsid w:val="004049BA"/>
    <w:rsid w:val="004257B0"/>
    <w:rsid w:val="00426D41"/>
    <w:rsid w:val="004334CE"/>
    <w:rsid w:val="004354D0"/>
    <w:rsid w:val="00437107"/>
    <w:rsid w:val="004612AE"/>
    <w:rsid w:val="00466342"/>
    <w:rsid w:val="00481ACC"/>
    <w:rsid w:val="004A5EB8"/>
    <w:rsid w:val="004A6E98"/>
    <w:rsid w:val="004B2707"/>
    <w:rsid w:val="004C017F"/>
    <w:rsid w:val="004C6240"/>
    <w:rsid w:val="004C65A9"/>
    <w:rsid w:val="004D0FF0"/>
    <w:rsid w:val="004E4169"/>
    <w:rsid w:val="004E466D"/>
    <w:rsid w:val="004F04C9"/>
    <w:rsid w:val="004F10FD"/>
    <w:rsid w:val="004F3936"/>
    <w:rsid w:val="004F6702"/>
    <w:rsid w:val="00513984"/>
    <w:rsid w:val="00521153"/>
    <w:rsid w:val="00521625"/>
    <w:rsid w:val="005242CF"/>
    <w:rsid w:val="00524FFA"/>
    <w:rsid w:val="00541367"/>
    <w:rsid w:val="00544F73"/>
    <w:rsid w:val="00550C22"/>
    <w:rsid w:val="0056081D"/>
    <w:rsid w:val="005660FB"/>
    <w:rsid w:val="005762E9"/>
    <w:rsid w:val="0058623D"/>
    <w:rsid w:val="00591284"/>
    <w:rsid w:val="00594B2A"/>
    <w:rsid w:val="005A141C"/>
    <w:rsid w:val="005A3CCB"/>
    <w:rsid w:val="005A4750"/>
    <w:rsid w:val="005A633A"/>
    <w:rsid w:val="005B07AB"/>
    <w:rsid w:val="005B357C"/>
    <w:rsid w:val="005C09DE"/>
    <w:rsid w:val="005C463B"/>
    <w:rsid w:val="005E4828"/>
    <w:rsid w:val="005E4982"/>
    <w:rsid w:val="005E632C"/>
    <w:rsid w:val="005F2442"/>
    <w:rsid w:val="005F3D38"/>
    <w:rsid w:val="005F7E52"/>
    <w:rsid w:val="00600708"/>
    <w:rsid w:val="00603A1B"/>
    <w:rsid w:val="0060715F"/>
    <w:rsid w:val="00613EA4"/>
    <w:rsid w:val="006144A3"/>
    <w:rsid w:val="00617AE3"/>
    <w:rsid w:val="00626657"/>
    <w:rsid w:val="006328BA"/>
    <w:rsid w:val="00632B6E"/>
    <w:rsid w:val="00635967"/>
    <w:rsid w:val="00646290"/>
    <w:rsid w:val="00651DAB"/>
    <w:rsid w:val="00654F68"/>
    <w:rsid w:val="00657200"/>
    <w:rsid w:val="00661CBF"/>
    <w:rsid w:val="0067134C"/>
    <w:rsid w:val="00671CCE"/>
    <w:rsid w:val="00680A97"/>
    <w:rsid w:val="0068495B"/>
    <w:rsid w:val="00692B60"/>
    <w:rsid w:val="006A04E6"/>
    <w:rsid w:val="006A1AAB"/>
    <w:rsid w:val="006A566C"/>
    <w:rsid w:val="006A703A"/>
    <w:rsid w:val="006B2F23"/>
    <w:rsid w:val="006C16A3"/>
    <w:rsid w:val="006C6AB5"/>
    <w:rsid w:val="006E38AD"/>
    <w:rsid w:val="006E6EB4"/>
    <w:rsid w:val="0070026C"/>
    <w:rsid w:val="00714A72"/>
    <w:rsid w:val="007217B8"/>
    <w:rsid w:val="00722427"/>
    <w:rsid w:val="00725D66"/>
    <w:rsid w:val="0073655E"/>
    <w:rsid w:val="00741CC6"/>
    <w:rsid w:val="0074765E"/>
    <w:rsid w:val="00756801"/>
    <w:rsid w:val="00760395"/>
    <w:rsid w:val="00760D12"/>
    <w:rsid w:val="00761D85"/>
    <w:rsid w:val="007921C6"/>
    <w:rsid w:val="00792D27"/>
    <w:rsid w:val="00797217"/>
    <w:rsid w:val="007B6046"/>
    <w:rsid w:val="007B66D4"/>
    <w:rsid w:val="007B6969"/>
    <w:rsid w:val="007C3C12"/>
    <w:rsid w:val="007C640B"/>
    <w:rsid w:val="007D48F5"/>
    <w:rsid w:val="007E3331"/>
    <w:rsid w:val="007E7B6A"/>
    <w:rsid w:val="007F06CC"/>
    <w:rsid w:val="007F408E"/>
    <w:rsid w:val="00800D40"/>
    <w:rsid w:val="00807113"/>
    <w:rsid w:val="0081699A"/>
    <w:rsid w:val="008207BB"/>
    <w:rsid w:val="0082438D"/>
    <w:rsid w:val="00837319"/>
    <w:rsid w:val="00861D0F"/>
    <w:rsid w:val="00862C00"/>
    <w:rsid w:val="00872B70"/>
    <w:rsid w:val="008769F5"/>
    <w:rsid w:val="00883BA1"/>
    <w:rsid w:val="00883EC4"/>
    <w:rsid w:val="00884DFD"/>
    <w:rsid w:val="0088582A"/>
    <w:rsid w:val="00892A6D"/>
    <w:rsid w:val="00892DCF"/>
    <w:rsid w:val="00893699"/>
    <w:rsid w:val="0089759E"/>
    <w:rsid w:val="008A0C39"/>
    <w:rsid w:val="008A4AC7"/>
    <w:rsid w:val="008B12D7"/>
    <w:rsid w:val="008D0BFE"/>
    <w:rsid w:val="008E33BE"/>
    <w:rsid w:val="008E6924"/>
    <w:rsid w:val="008E7C47"/>
    <w:rsid w:val="00900E3C"/>
    <w:rsid w:val="00903A2C"/>
    <w:rsid w:val="0090762E"/>
    <w:rsid w:val="00913862"/>
    <w:rsid w:val="00921A32"/>
    <w:rsid w:val="00923D19"/>
    <w:rsid w:val="00925A7C"/>
    <w:rsid w:val="0093386A"/>
    <w:rsid w:val="00934542"/>
    <w:rsid w:val="0093720D"/>
    <w:rsid w:val="00944D7E"/>
    <w:rsid w:val="00946B91"/>
    <w:rsid w:val="009518DB"/>
    <w:rsid w:val="00962CD2"/>
    <w:rsid w:val="00986541"/>
    <w:rsid w:val="009911A9"/>
    <w:rsid w:val="00991666"/>
    <w:rsid w:val="009A195C"/>
    <w:rsid w:val="009A2A8C"/>
    <w:rsid w:val="009A5161"/>
    <w:rsid w:val="009B2AC0"/>
    <w:rsid w:val="009B7B44"/>
    <w:rsid w:val="009D1E42"/>
    <w:rsid w:val="009E2764"/>
    <w:rsid w:val="009F3DAA"/>
    <w:rsid w:val="009F6008"/>
    <w:rsid w:val="009F79A6"/>
    <w:rsid w:val="00A116E3"/>
    <w:rsid w:val="00A13EF8"/>
    <w:rsid w:val="00A20A53"/>
    <w:rsid w:val="00A33BF9"/>
    <w:rsid w:val="00A553F8"/>
    <w:rsid w:val="00A60181"/>
    <w:rsid w:val="00A6310E"/>
    <w:rsid w:val="00A6561C"/>
    <w:rsid w:val="00A67070"/>
    <w:rsid w:val="00A71730"/>
    <w:rsid w:val="00A94B6E"/>
    <w:rsid w:val="00A96B1C"/>
    <w:rsid w:val="00AA0046"/>
    <w:rsid w:val="00AB64D6"/>
    <w:rsid w:val="00AD0229"/>
    <w:rsid w:val="00AD03BB"/>
    <w:rsid w:val="00AD7BE8"/>
    <w:rsid w:val="00B008EF"/>
    <w:rsid w:val="00B0781A"/>
    <w:rsid w:val="00B13BA5"/>
    <w:rsid w:val="00B20C2B"/>
    <w:rsid w:val="00B26D21"/>
    <w:rsid w:val="00B32762"/>
    <w:rsid w:val="00B33D48"/>
    <w:rsid w:val="00B41B68"/>
    <w:rsid w:val="00B43862"/>
    <w:rsid w:val="00B4717D"/>
    <w:rsid w:val="00B50B08"/>
    <w:rsid w:val="00B5171C"/>
    <w:rsid w:val="00B53BB6"/>
    <w:rsid w:val="00B565F6"/>
    <w:rsid w:val="00B64B0B"/>
    <w:rsid w:val="00B6790F"/>
    <w:rsid w:val="00B91D3C"/>
    <w:rsid w:val="00B96B19"/>
    <w:rsid w:val="00BA0103"/>
    <w:rsid w:val="00BB71BA"/>
    <w:rsid w:val="00BC46B4"/>
    <w:rsid w:val="00BC728E"/>
    <w:rsid w:val="00BD0212"/>
    <w:rsid w:val="00BE0F5F"/>
    <w:rsid w:val="00BE309F"/>
    <w:rsid w:val="00BE5129"/>
    <w:rsid w:val="00BE674D"/>
    <w:rsid w:val="00BF6793"/>
    <w:rsid w:val="00C00ED5"/>
    <w:rsid w:val="00C012BA"/>
    <w:rsid w:val="00C05A51"/>
    <w:rsid w:val="00C067EE"/>
    <w:rsid w:val="00C06B9E"/>
    <w:rsid w:val="00C1123D"/>
    <w:rsid w:val="00C23B1D"/>
    <w:rsid w:val="00C30797"/>
    <w:rsid w:val="00C33BB7"/>
    <w:rsid w:val="00C34979"/>
    <w:rsid w:val="00C402DD"/>
    <w:rsid w:val="00C40344"/>
    <w:rsid w:val="00C452A6"/>
    <w:rsid w:val="00C47B3C"/>
    <w:rsid w:val="00C65C07"/>
    <w:rsid w:val="00C96731"/>
    <w:rsid w:val="00CA11BE"/>
    <w:rsid w:val="00CA27C9"/>
    <w:rsid w:val="00CB44C0"/>
    <w:rsid w:val="00CC07EE"/>
    <w:rsid w:val="00CC70DB"/>
    <w:rsid w:val="00CD479C"/>
    <w:rsid w:val="00CD49F2"/>
    <w:rsid w:val="00CE11B9"/>
    <w:rsid w:val="00CE5B1A"/>
    <w:rsid w:val="00D13C72"/>
    <w:rsid w:val="00D22C6B"/>
    <w:rsid w:val="00D331E9"/>
    <w:rsid w:val="00D43779"/>
    <w:rsid w:val="00D44274"/>
    <w:rsid w:val="00D514A0"/>
    <w:rsid w:val="00D55DFE"/>
    <w:rsid w:val="00D74EC7"/>
    <w:rsid w:val="00D75E47"/>
    <w:rsid w:val="00D853A9"/>
    <w:rsid w:val="00D9239C"/>
    <w:rsid w:val="00D95BE2"/>
    <w:rsid w:val="00DA79EF"/>
    <w:rsid w:val="00DC7237"/>
    <w:rsid w:val="00DD7926"/>
    <w:rsid w:val="00DF12AD"/>
    <w:rsid w:val="00DF6A27"/>
    <w:rsid w:val="00E04789"/>
    <w:rsid w:val="00E05BF2"/>
    <w:rsid w:val="00E06923"/>
    <w:rsid w:val="00E24B02"/>
    <w:rsid w:val="00E30ABE"/>
    <w:rsid w:val="00E3602A"/>
    <w:rsid w:val="00E36C3C"/>
    <w:rsid w:val="00E43ED7"/>
    <w:rsid w:val="00E5091C"/>
    <w:rsid w:val="00E62341"/>
    <w:rsid w:val="00E638BD"/>
    <w:rsid w:val="00E74732"/>
    <w:rsid w:val="00E76EE2"/>
    <w:rsid w:val="00E83953"/>
    <w:rsid w:val="00E845C6"/>
    <w:rsid w:val="00E91AE1"/>
    <w:rsid w:val="00E97B22"/>
    <w:rsid w:val="00EA286B"/>
    <w:rsid w:val="00EA331E"/>
    <w:rsid w:val="00EA7652"/>
    <w:rsid w:val="00EA7BB3"/>
    <w:rsid w:val="00EB2543"/>
    <w:rsid w:val="00EC2BF5"/>
    <w:rsid w:val="00EC7335"/>
    <w:rsid w:val="00EC76DA"/>
    <w:rsid w:val="00ED191B"/>
    <w:rsid w:val="00ED2856"/>
    <w:rsid w:val="00ED32B6"/>
    <w:rsid w:val="00ED7048"/>
    <w:rsid w:val="00EE1182"/>
    <w:rsid w:val="00EE6067"/>
    <w:rsid w:val="00EE7612"/>
    <w:rsid w:val="00F003CD"/>
    <w:rsid w:val="00F06FBA"/>
    <w:rsid w:val="00F07327"/>
    <w:rsid w:val="00F07992"/>
    <w:rsid w:val="00F10C86"/>
    <w:rsid w:val="00F1103E"/>
    <w:rsid w:val="00F159CB"/>
    <w:rsid w:val="00F172AF"/>
    <w:rsid w:val="00F24415"/>
    <w:rsid w:val="00F32420"/>
    <w:rsid w:val="00F33A3A"/>
    <w:rsid w:val="00F378BB"/>
    <w:rsid w:val="00F51B61"/>
    <w:rsid w:val="00F53256"/>
    <w:rsid w:val="00F65B70"/>
    <w:rsid w:val="00F860CA"/>
    <w:rsid w:val="00F90EC2"/>
    <w:rsid w:val="00F97B9B"/>
    <w:rsid w:val="00F97CB9"/>
    <w:rsid w:val="00FA081F"/>
    <w:rsid w:val="00FA359A"/>
    <w:rsid w:val="00FA55D0"/>
    <w:rsid w:val="00FA792D"/>
    <w:rsid w:val="00FB37C7"/>
    <w:rsid w:val="00FC337C"/>
    <w:rsid w:val="00FD4FD4"/>
    <w:rsid w:val="00FE1D16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76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327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3276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B3276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6A703A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03A"/>
    <w:rPr>
      <w:rFonts w:ascii="Tahoma" w:hAnsi="Tahoma" w:cs="Times New Roman"/>
      <w:sz w:val="16"/>
      <w:lang w:eastAsia="ru-RU"/>
    </w:rPr>
  </w:style>
  <w:style w:type="character" w:styleId="a5">
    <w:name w:val="Hyperlink"/>
    <w:basedOn w:val="a0"/>
    <w:uiPriority w:val="99"/>
    <w:semiHidden/>
    <w:rsid w:val="00FA081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7D48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671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AEE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671CCE"/>
    <w:rPr>
      <w:rFonts w:cs="Times New Roman"/>
    </w:rPr>
  </w:style>
  <w:style w:type="paragraph" w:styleId="ab">
    <w:name w:val="header"/>
    <w:basedOn w:val="a"/>
    <w:link w:val="ac"/>
    <w:uiPriority w:val="99"/>
    <w:rsid w:val="00671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4A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C600AE8C99E463A28B1F490439E2AF5BA8A7AC6C57BB93A50DC08BDDnFG" TargetMode="External"/><Relationship Id="rId13" Type="http://schemas.openxmlformats.org/officeDocument/2006/relationships/hyperlink" Target="consultantplus://offline/ref=A618C600AE8C99E463A295125F6867EDAE55F4AEAD6354EACBFA569DDCD61147B4411D1D7928805C383281DDnBG" TargetMode="External"/><Relationship Id="rId18" Type="http://schemas.openxmlformats.org/officeDocument/2006/relationships/hyperlink" Target="consultantplus://offline/ref=A618C600AE8C99E463A295125F6867EDAE55F4AEAD6354EACBFA569DDCD61147B4411D1D7928805C383585DDnAG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18C600AE8C99E463A295125F6867EDAE55F4AEAD6354EACBFA569DDCD61147B4411D1D7928805C393883DDn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18C600AE8C99E463A295125F6867EDAE55F4AEAD6354EACBFA569DDCD61147B4411D1D7928805C383681DDn2G" TargetMode="External"/><Relationship Id="rId17" Type="http://schemas.openxmlformats.org/officeDocument/2006/relationships/hyperlink" Target="consultantplus://offline/ref=A618C600AE8C99E463A295125F6867EDAE55F4AEAD6354EACBFA569DDCD61147B4411D1D7928805C383584DDn3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18C600AE8C99E463A295125F6867EDAE55F4AEAD6354EACBFA569DDCD61147B4411D1D7928805C383583DDnDG" TargetMode="External"/><Relationship Id="rId20" Type="http://schemas.openxmlformats.org/officeDocument/2006/relationships/hyperlink" Target="consultantplus://offline/ref=A618C600AE8C99E463A295125F6867EDAE55F4AEAD6354EACBFA569DDCD61147B4411D1D7928805C393686DDn9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18C600AE8C99E463A295125F6867EDAE55F4AEAD6354EACBFA569DDCD61147B4411D1D7928805C383787DDn3G" TargetMode="External"/><Relationship Id="rId24" Type="http://schemas.openxmlformats.org/officeDocument/2006/relationships/hyperlink" Target="consultantplus://offline/ref=A618C600AE8C99E463A28B1F490439E2AF5DAFA2AA6A57BB93A50DC08BDF1B10F30E445F3D25815DD3n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18C600AE8C99E463A295125F6867EDAE55F4AEAD6354EACBFA569DDCD61147B4411D1D7928805C383489DDnEG" TargetMode="External"/><Relationship Id="rId23" Type="http://schemas.openxmlformats.org/officeDocument/2006/relationships/hyperlink" Target="consultantplus://offline/ref=A618C600AE8C99E463A295125F6867EDAE55F4AEAE6859EAC9FA569DDCD61147B4411D1D7928805C383081DDnE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618C600AE8C99E463A295125F6867EDAE55F4AEAD6354EACBFA569DDCD61147B4411D1D7928805C383786DDn8G" TargetMode="External"/><Relationship Id="rId19" Type="http://schemas.openxmlformats.org/officeDocument/2006/relationships/hyperlink" Target="consultantplus://offline/ref=A618C600AE8C99E463A295125F6867EDAE55F4AEAD6354EACBFA569DDCD61147B4411D1D7928805C383882DDn3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18C600AE8C99E463A28B1F490439E2AF5DACAAAB6B57BB93A50DC08BDF1B10F30E445F3D25815DD3nAG" TargetMode="External"/><Relationship Id="rId14" Type="http://schemas.openxmlformats.org/officeDocument/2006/relationships/hyperlink" Target="consultantplus://offline/ref=A618C600AE8C99E463A295125F6867EDAE55F4AEAD6354EACBFA569DDCD61147B4411D1D7928805C383488DDnAG" TargetMode="External"/><Relationship Id="rId22" Type="http://schemas.openxmlformats.org/officeDocument/2006/relationships/hyperlink" Target="consultantplus://offline/ref=ED76934727D705234815CE80ECB62E65A02E42FCD0A9569CD8549384D5573B0E43283B1531D164E4U3D0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31</Pages>
  <Words>8250</Words>
  <Characters>47029</Characters>
  <Application>Microsoft Office Word</Application>
  <DocSecurity>0</DocSecurity>
  <Lines>391</Lines>
  <Paragraphs>110</Paragraphs>
  <ScaleCrop>false</ScaleCrop>
  <Company>APK</Company>
  <LinksUpToDate>false</LinksUpToDate>
  <CharactersWithSpaces>55169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Механцева Ольга Дмитриевна</dc:creator>
  <cp:keywords/>
  <dc:description/>
  <cp:lastModifiedBy>Antonova_TE</cp:lastModifiedBy>
  <cp:revision>33</cp:revision>
  <cp:lastPrinted>2014-01-09T00:29:00Z</cp:lastPrinted>
  <dcterms:created xsi:type="dcterms:W3CDTF">2013-12-27T07:25:00Z</dcterms:created>
  <dcterms:modified xsi:type="dcterms:W3CDTF">2014-01-13T03:40:00Z</dcterms:modified>
</cp:coreProperties>
</file>